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  <w:t>山西省建筑装饰协会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color w:val="666666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荣誉会员管理办法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13"/>
          <w:szCs w:val="13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第一条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为了扩大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的社会影响，吸引社会各界优秀人士对建筑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领域的广泛关注，促进建筑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技术的交流和发展，依据《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章程》，制定本办法。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第二条</w:t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999999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在其所在领域中具有较高声誉，热心于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的各项活动，对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的发展做出了重要贡献，拥护本会章程，并有意成为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的荣誉会员者，可申请成为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第三条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申请成为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荣誉会员，须经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推荐，填写《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荣誉会员申请表》，经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常务理事会批准后，方可成为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第四条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经批准的荣誉会员，由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向其颁发荣誉会员证书。本人认可的有关事迹、业绩等可在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官网及微信公众号推送。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第五条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秘书处将定期向其通报有关学术活动信息。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第六条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荣誉会员没有选举和被选举权。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第七条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荣誉会员无需缴纳会费。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第八条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荣誉会员的会员资格为5年，到期后由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秘书处将依据本办法的上述标准重新评定，并报常务理事会批准。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第九条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荣誉会员资格有效期内，可申请退会。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荣誉会员资格有效期内，如发生危害国家或危害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协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会的行为，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将取消其荣誉会员资格。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第十一条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荣誉会员的评定工作每年开展一次。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第十二条</w:t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999999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申请人可从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网站（www.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sxbda.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org）上下载《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荣誉会员申请表》，或向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协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会秘书处索取。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自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日起执行，解释权属于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秘书处。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3A382F08"/>
    <w:rsid w:val="3A382F08"/>
    <w:rsid w:val="4E2933DA"/>
    <w:rsid w:val="6E5D5970"/>
    <w:rsid w:val="7394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684</Characters>
  <Lines>0</Lines>
  <Paragraphs>0</Paragraphs>
  <TotalTime>15</TotalTime>
  <ScaleCrop>false</ScaleCrop>
  <LinksUpToDate>false</LinksUpToDate>
  <CharactersWithSpaces>721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2023-06-19T06:59:00Z</dcterms:created>
  <dc:creator>和永</dc:creator>
  <cp:lastModifiedBy>毛毛</cp:lastModifiedBy>
  <dcterms:modified xsi:type="dcterms:W3CDTF">2023-06-30T03:22:00Z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B3AB8F50A9094798A7357EDCA8A44B0F_11</vt:lpwstr>
  </property>
</Properties>
</file>