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F51DC">
      <w:pPr>
        <w:jc w:val="center"/>
        <w:rPr>
          <w:rFonts w:hint="eastAsia" w:ascii="宋体" w:hAnsi="宋体" w:eastAsia="宋体" w:cs="宋体"/>
          <w:b/>
          <w:bCs/>
          <w:sz w:val="44"/>
          <w:szCs w:val="44"/>
        </w:rPr>
      </w:pPr>
    </w:p>
    <w:p w14:paraId="39607AE0">
      <w:pPr>
        <w:jc w:val="center"/>
        <w:rPr>
          <w:rFonts w:hint="eastAsia" w:ascii="宋体" w:hAnsi="宋体" w:eastAsia="宋体" w:cs="宋体"/>
          <w:b/>
          <w:bCs/>
          <w:sz w:val="44"/>
          <w:szCs w:val="44"/>
        </w:rPr>
      </w:pPr>
      <w:r>
        <w:rPr>
          <w:rFonts w:hint="eastAsia" w:ascii="宋体" w:hAnsi="宋体" w:eastAsia="宋体" w:cs="宋体"/>
          <w:b/>
          <w:bCs/>
          <w:sz w:val="44"/>
          <w:szCs w:val="44"/>
        </w:rPr>
        <w:t>山西省建筑装饰行业</w:t>
      </w:r>
    </w:p>
    <w:p w14:paraId="17B78B96">
      <w:pPr>
        <w:jc w:val="center"/>
        <w:rPr>
          <w:rFonts w:hint="eastAsia" w:ascii="宋体" w:hAnsi="宋体" w:eastAsia="宋体" w:cs="宋体"/>
          <w:b/>
          <w:bCs/>
          <w:sz w:val="10"/>
          <w:szCs w:val="10"/>
        </w:rPr>
      </w:pPr>
      <w:r>
        <w:rPr>
          <w:rFonts w:hint="eastAsia" w:ascii="宋体" w:hAnsi="宋体" w:eastAsia="宋体" w:cs="宋体"/>
          <w:b/>
          <w:bCs/>
          <w:sz w:val="44"/>
          <w:szCs w:val="44"/>
        </w:rPr>
        <w:t>细分领域</w:t>
      </w:r>
      <w:r>
        <w:rPr>
          <w:rFonts w:hint="eastAsia" w:ascii="宋体" w:hAnsi="宋体" w:eastAsia="宋体" w:cs="宋体"/>
          <w:b/>
          <w:bCs/>
          <w:sz w:val="44"/>
          <w:szCs w:val="44"/>
          <w:lang w:val="en-US" w:eastAsia="zh-CN"/>
        </w:rPr>
        <w:t>品牌</w:t>
      </w:r>
      <w:r>
        <w:rPr>
          <w:rFonts w:hint="eastAsia" w:ascii="宋体" w:hAnsi="宋体" w:eastAsia="宋体" w:cs="宋体"/>
          <w:b/>
          <w:bCs/>
          <w:sz w:val="44"/>
          <w:szCs w:val="44"/>
        </w:rPr>
        <w:t>评价管理办法</w:t>
      </w:r>
    </w:p>
    <w:p w14:paraId="00C7CDD6">
      <w:pPr>
        <w:jc w:val="center"/>
        <w:rPr>
          <w:rFonts w:hint="eastAsia" w:ascii="宋体" w:hAnsi="宋体" w:eastAsia="宋体" w:cs="宋体"/>
          <w:b w:val="0"/>
          <w:bCs w:val="0"/>
          <w:sz w:val="32"/>
          <w:szCs w:val="32"/>
        </w:rPr>
      </w:pPr>
      <w:r>
        <w:rPr>
          <w:rFonts w:hint="eastAsia" w:ascii="宋体" w:hAnsi="宋体" w:eastAsia="宋体" w:cs="宋体"/>
          <w:b w:val="0"/>
          <w:bCs w:val="0"/>
          <w:sz w:val="32"/>
          <w:szCs w:val="32"/>
        </w:rPr>
        <w:t>（</w:t>
      </w:r>
      <w:r>
        <w:rPr>
          <w:rFonts w:hint="eastAsia" w:ascii="宋体" w:hAnsi="宋体" w:eastAsia="宋体" w:cs="宋体"/>
          <w:b w:val="0"/>
          <w:bCs w:val="0"/>
          <w:sz w:val="32"/>
          <w:szCs w:val="32"/>
          <w:lang w:val="en-US" w:eastAsia="zh-CN"/>
        </w:rPr>
        <w:t>试行</w:t>
      </w:r>
      <w:bookmarkStart w:id="2" w:name="_GoBack"/>
      <w:bookmarkEnd w:id="2"/>
      <w:r>
        <w:rPr>
          <w:rFonts w:hint="eastAsia" w:ascii="宋体" w:hAnsi="宋体" w:eastAsia="宋体" w:cs="宋体"/>
          <w:b w:val="0"/>
          <w:bCs w:val="0"/>
          <w:sz w:val="32"/>
          <w:szCs w:val="32"/>
        </w:rPr>
        <w:t>）</w:t>
      </w:r>
    </w:p>
    <w:p w14:paraId="6A546E52">
      <w:pPr>
        <w:rPr>
          <w:rFonts w:hint="eastAsia" w:ascii="仿宋" w:hAnsi="仿宋" w:eastAsia="仿宋" w:cs="仿宋"/>
          <w:sz w:val="32"/>
          <w:szCs w:val="32"/>
        </w:rPr>
      </w:pPr>
    </w:p>
    <w:p w14:paraId="61225D43">
      <w:pPr>
        <w:jc w:val="center"/>
        <w:rPr>
          <w:rFonts w:hint="eastAsia" w:ascii="黑体" w:hAnsi="黑体" w:eastAsia="黑体" w:cs="黑体"/>
          <w:b w:val="0"/>
          <w:bCs w:val="0"/>
          <w:sz w:val="30"/>
          <w:szCs w:val="30"/>
        </w:rPr>
      </w:pPr>
      <w:r>
        <w:rPr>
          <w:rFonts w:hint="eastAsia" w:ascii="黑体" w:hAnsi="黑体" w:eastAsia="黑体" w:cs="黑体"/>
          <w:b w:val="0"/>
          <w:bCs w:val="0"/>
          <w:sz w:val="30"/>
          <w:szCs w:val="30"/>
        </w:rPr>
        <w:t>第一章 总则</w:t>
      </w:r>
    </w:p>
    <w:p w14:paraId="1BE047B4">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第一条</w:t>
      </w:r>
      <w:r>
        <w:rPr>
          <w:rFonts w:hint="eastAsia" w:ascii="仿宋" w:hAnsi="仿宋" w:eastAsia="仿宋" w:cs="仿宋"/>
          <w:sz w:val="30"/>
          <w:szCs w:val="30"/>
        </w:rPr>
        <w:t xml:space="preserve"> 为规范山西省建筑装饰行业市场秩序，推动行业高质量发展，根据</w:t>
      </w:r>
      <w:r>
        <w:rPr>
          <w:rFonts w:hint="eastAsia"/>
        </w:rPr>
        <w:t xml:space="preserve"> </w:t>
      </w:r>
      <w:r>
        <w:rPr>
          <w:rFonts w:hint="eastAsia" w:ascii="仿宋" w:hAnsi="仿宋" w:eastAsia="仿宋" w:cs="仿宋"/>
          <w:sz w:val="30"/>
          <w:szCs w:val="30"/>
        </w:rPr>
        <w:t>《山西省人民政府办公厅关于加快推进社会信用体系建设构建以信用为基础的新型监管机制的实施意见》（晋政办发〔2020〕10号）</w:t>
      </w:r>
      <w:r>
        <w:rPr>
          <w:rFonts w:hint="eastAsia" w:ascii="仿宋" w:hAnsi="仿宋" w:eastAsia="仿宋" w:cs="仿宋"/>
          <w:sz w:val="30"/>
          <w:szCs w:val="30"/>
          <w:lang w:eastAsia="zh-CN"/>
        </w:rPr>
        <w:t>、《中华人民共和国国家发展和改革委员会、国家市场监督管理总局》公告2025第4号、</w:t>
      </w:r>
      <w:r>
        <w:rPr>
          <w:rFonts w:hint="eastAsia" w:ascii="仿宋" w:hAnsi="仿宋" w:eastAsia="仿宋" w:cs="仿宋"/>
          <w:sz w:val="30"/>
          <w:szCs w:val="30"/>
        </w:rPr>
        <w:t>《山西省建筑市场信用管理办法》（晋建市函〔2022〕855号）等文件精神，结合行业实际，制定本办法。</w:t>
      </w:r>
    </w:p>
    <w:p w14:paraId="6DEE2F85">
      <w:pPr>
        <w:ind w:firstLine="602" w:firstLineChars="200"/>
        <w:rPr>
          <w:rFonts w:hint="eastAsia" w:ascii="仿宋" w:hAnsi="仿宋" w:eastAsia="仿宋" w:cs="仿宋"/>
          <w:sz w:val="30"/>
          <w:szCs w:val="30"/>
        </w:rPr>
      </w:pPr>
      <w:r>
        <w:rPr>
          <w:rFonts w:hint="eastAsia" w:ascii="仿宋" w:hAnsi="仿宋" w:eastAsia="仿宋" w:cs="仿宋"/>
          <w:b/>
          <w:bCs/>
          <w:sz w:val="30"/>
          <w:szCs w:val="30"/>
        </w:rPr>
        <w:t xml:space="preserve">第二条 </w:t>
      </w:r>
      <w:r>
        <w:rPr>
          <w:rFonts w:hint="eastAsia" w:ascii="仿宋" w:hAnsi="仿宋" w:eastAsia="仿宋" w:cs="仿宋"/>
          <w:sz w:val="30"/>
          <w:szCs w:val="30"/>
        </w:rPr>
        <w:t>本办法适用于山西省境内从事建筑装饰</w:t>
      </w:r>
      <w:r>
        <w:rPr>
          <w:rFonts w:hint="eastAsia" w:ascii="仿宋" w:hAnsi="仿宋" w:eastAsia="仿宋" w:cs="仿宋"/>
          <w:sz w:val="30"/>
          <w:szCs w:val="30"/>
          <w:lang w:val="en-US" w:eastAsia="zh-CN"/>
        </w:rPr>
        <w:t>业务的各</w:t>
      </w:r>
      <w:r>
        <w:rPr>
          <w:rFonts w:hint="eastAsia" w:ascii="仿宋" w:hAnsi="仿宋" w:eastAsia="仿宋" w:cs="仿宋"/>
          <w:sz w:val="30"/>
          <w:szCs w:val="30"/>
        </w:rPr>
        <w:t>会员单位。</w:t>
      </w:r>
    </w:p>
    <w:p w14:paraId="5DEA040D">
      <w:pPr>
        <w:ind w:firstLine="602" w:firstLineChars="200"/>
        <w:rPr>
          <w:rFonts w:hint="default" w:ascii="仿宋" w:hAnsi="仿宋" w:eastAsia="仿宋" w:cs="仿宋"/>
          <w:sz w:val="30"/>
          <w:szCs w:val="30"/>
          <w:lang w:val="en-US" w:eastAsia="zh-CN"/>
        </w:rPr>
      </w:pPr>
      <w:r>
        <w:rPr>
          <w:rFonts w:hint="eastAsia" w:ascii="仿宋" w:hAnsi="仿宋" w:eastAsia="仿宋" w:cs="仿宋"/>
          <w:b/>
          <w:bCs/>
          <w:sz w:val="30"/>
          <w:szCs w:val="30"/>
        </w:rPr>
        <w:t xml:space="preserve">第三条 </w:t>
      </w:r>
      <w:r>
        <w:rPr>
          <w:rFonts w:hint="eastAsia" w:ascii="仿宋" w:hAnsi="仿宋" w:eastAsia="仿宋" w:cs="仿宋"/>
          <w:sz w:val="30"/>
          <w:szCs w:val="30"/>
        </w:rPr>
        <w:t>评价遵循“公开、公平、公正”原则，以</w:t>
      </w:r>
      <w:r>
        <w:rPr>
          <w:rFonts w:hint="eastAsia" w:ascii="仿宋" w:hAnsi="仿宋" w:eastAsia="仿宋" w:cs="仿宋"/>
          <w:sz w:val="30"/>
          <w:szCs w:val="30"/>
          <w:lang w:val="en-US" w:eastAsia="zh-CN"/>
        </w:rPr>
        <w:t>省建筑装饰协会</w:t>
      </w:r>
      <w:r>
        <w:rPr>
          <w:rFonts w:hint="eastAsia" w:ascii="仿宋" w:hAnsi="仿宋" w:eastAsia="仿宋" w:cs="仿宋"/>
          <w:sz w:val="30"/>
          <w:szCs w:val="30"/>
        </w:rPr>
        <w:t>信用</w:t>
      </w:r>
      <w:r>
        <w:rPr>
          <w:rFonts w:hint="eastAsia" w:ascii="仿宋" w:hAnsi="仿宋" w:eastAsia="仿宋" w:cs="仿宋"/>
          <w:sz w:val="30"/>
          <w:szCs w:val="30"/>
          <w:lang w:val="en-US" w:eastAsia="zh-CN"/>
        </w:rPr>
        <w:t>评价</w:t>
      </w:r>
      <w:r>
        <w:rPr>
          <w:rFonts w:hint="eastAsia" w:ascii="仿宋" w:hAnsi="仿宋" w:eastAsia="仿宋" w:cs="仿宋"/>
          <w:sz w:val="30"/>
          <w:szCs w:val="30"/>
        </w:rPr>
        <w:t>信息为基础，结合行业特点，实施分类分级管理，推动守信激励与</w:t>
      </w:r>
      <w:r>
        <w:rPr>
          <w:rFonts w:hint="eastAsia" w:ascii="仿宋" w:hAnsi="仿宋" w:eastAsia="仿宋" w:cs="仿宋"/>
          <w:sz w:val="30"/>
          <w:szCs w:val="30"/>
          <w:lang w:val="en-US" w:eastAsia="zh-CN"/>
        </w:rPr>
        <w:t>行业自律</w:t>
      </w:r>
      <w:r>
        <w:rPr>
          <w:rFonts w:hint="eastAsia" w:ascii="仿宋" w:hAnsi="仿宋" w:eastAsia="仿宋" w:cs="仿宋"/>
          <w:sz w:val="30"/>
          <w:szCs w:val="30"/>
        </w:rPr>
        <w:t>。</w:t>
      </w:r>
      <w:r>
        <w:rPr>
          <w:rFonts w:hint="eastAsia" w:ascii="仿宋" w:hAnsi="仿宋" w:eastAsia="仿宋" w:cs="仿宋"/>
          <w:sz w:val="30"/>
          <w:szCs w:val="30"/>
          <w:lang w:val="en-US" w:eastAsia="zh-CN"/>
        </w:rPr>
        <w:t>细分领域品牌评价结果抄报省市场监管局、省商务厅、省住建厅等部门。</w:t>
      </w:r>
    </w:p>
    <w:p w14:paraId="0E466B86">
      <w:pPr>
        <w:ind w:firstLine="600" w:firstLineChars="200"/>
        <w:jc w:val="center"/>
        <w:rPr>
          <w:rFonts w:hint="eastAsia" w:ascii="黑体" w:hAnsi="黑体" w:eastAsia="黑体" w:cs="黑体"/>
          <w:sz w:val="30"/>
          <w:szCs w:val="30"/>
        </w:rPr>
      </w:pPr>
      <w:r>
        <w:rPr>
          <w:rFonts w:hint="eastAsia" w:ascii="黑体" w:hAnsi="黑体" w:eastAsia="黑体" w:cs="黑体"/>
          <w:sz w:val="30"/>
          <w:szCs w:val="30"/>
        </w:rPr>
        <w:t>第二章 组织架构</w:t>
      </w:r>
    </w:p>
    <w:p w14:paraId="73BA1C14">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第四条</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由省建筑装饰协会组织</w:t>
      </w:r>
      <w:r>
        <w:rPr>
          <w:rFonts w:hint="eastAsia" w:ascii="仿宋" w:hAnsi="仿宋" w:eastAsia="仿宋" w:cs="仿宋"/>
          <w:sz w:val="30"/>
          <w:szCs w:val="30"/>
        </w:rPr>
        <w:t>行业专家、政府相关部门代表组成</w:t>
      </w:r>
      <w:r>
        <w:rPr>
          <w:rFonts w:hint="eastAsia" w:ascii="仿宋" w:hAnsi="仿宋" w:eastAsia="仿宋" w:cs="仿宋"/>
          <w:sz w:val="30"/>
          <w:szCs w:val="30"/>
          <w:lang w:val="en-US" w:eastAsia="zh-CN"/>
        </w:rPr>
        <w:t>专家组</w:t>
      </w:r>
      <w:r>
        <w:rPr>
          <w:rFonts w:hint="eastAsia" w:ascii="仿宋" w:hAnsi="仿宋" w:eastAsia="仿宋" w:cs="仿宋"/>
          <w:sz w:val="30"/>
          <w:szCs w:val="30"/>
        </w:rPr>
        <w:t>，负责评价标准制定、结果审定及争议处理。</w:t>
      </w:r>
    </w:p>
    <w:p w14:paraId="2E7F0B1D">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第五条</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协会</w:t>
      </w:r>
      <w:r>
        <w:rPr>
          <w:rFonts w:hint="eastAsia" w:ascii="仿宋" w:hAnsi="仿宋" w:eastAsia="仿宋" w:cs="仿宋"/>
          <w:sz w:val="30"/>
          <w:szCs w:val="30"/>
        </w:rPr>
        <w:t>下设</w:t>
      </w:r>
      <w:r>
        <w:rPr>
          <w:rFonts w:hint="eastAsia" w:ascii="仿宋" w:hAnsi="仿宋" w:eastAsia="仿宋" w:cs="仿宋"/>
          <w:sz w:val="30"/>
          <w:szCs w:val="30"/>
          <w:lang w:val="en-US" w:eastAsia="zh-CN"/>
        </w:rPr>
        <w:t>信用评价</w:t>
      </w:r>
      <w:r>
        <w:rPr>
          <w:rFonts w:hint="eastAsia" w:ascii="仿宋" w:hAnsi="仿宋" w:eastAsia="仿宋" w:cs="仿宋"/>
          <w:sz w:val="30"/>
          <w:szCs w:val="30"/>
        </w:rPr>
        <w:t>办公室，负责</w:t>
      </w:r>
      <w:r>
        <w:rPr>
          <w:rFonts w:hint="eastAsia" w:ascii="仿宋" w:hAnsi="仿宋" w:eastAsia="仿宋" w:cs="仿宋"/>
          <w:sz w:val="30"/>
          <w:szCs w:val="30"/>
          <w:lang w:val="en-US" w:eastAsia="zh-CN"/>
        </w:rPr>
        <w:t>抽调专家、</w:t>
      </w:r>
      <w:r>
        <w:rPr>
          <w:rFonts w:hint="eastAsia" w:ascii="仿宋" w:hAnsi="仿宋" w:eastAsia="仿宋" w:cs="仿宋"/>
          <w:sz w:val="30"/>
          <w:szCs w:val="30"/>
        </w:rPr>
        <w:t>日常组织协调、资料审核、现场复查及结果公示等工作。</w:t>
      </w:r>
    </w:p>
    <w:p w14:paraId="04BDC00B">
      <w:pPr>
        <w:jc w:val="center"/>
        <w:rPr>
          <w:rFonts w:hint="eastAsia" w:ascii="黑体" w:hAnsi="黑体" w:eastAsia="黑体" w:cs="黑体"/>
          <w:sz w:val="30"/>
          <w:szCs w:val="30"/>
        </w:rPr>
      </w:pPr>
      <w:r>
        <w:rPr>
          <w:rFonts w:hint="eastAsia" w:ascii="黑体" w:hAnsi="黑体" w:eastAsia="黑体" w:cs="黑体"/>
          <w:sz w:val="30"/>
          <w:szCs w:val="30"/>
        </w:rPr>
        <w:t>第三章 评价内容与标准</w:t>
      </w:r>
    </w:p>
    <w:p w14:paraId="773340CB">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第六条</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品牌</w:t>
      </w:r>
      <w:r>
        <w:rPr>
          <w:rFonts w:hint="eastAsia" w:ascii="仿宋" w:hAnsi="仿宋" w:eastAsia="仿宋" w:cs="仿宋"/>
          <w:sz w:val="30"/>
          <w:szCs w:val="30"/>
        </w:rPr>
        <w:t>评价范围</w:t>
      </w:r>
    </w:p>
    <w:p w14:paraId="068C09B3">
      <w:pPr>
        <w:ind w:firstLine="600" w:firstLineChars="200"/>
        <w:rPr>
          <w:rFonts w:hint="eastAsia" w:ascii="仿宋" w:hAnsi="仿宋" w:eastAsia="仿宋" w:cs="仿宋"/>
          <w:sz w:val="30"/>
          <w:szCs w:val="30"/>
        </w:rPr>
      </w:pPr>
      <w:r>
        <w:rPr>
          <w:rFonts w:hint="eastAsia" w:ascii="仿宋" w:hAnsi="仿宋" w:eastAsia="仿宋" w:cs="仿宋"/>
          <w:sz w:val="30"/>
          <w:szCs w:val="30"/>
        </w:rPr>
        <w:t>涵盖以下细分领域：</w:t>
      </w:r>
    </w:p>
    <w:p w14:paraId="5CE5DFD0">
      <w:pPr>
        <w:numPr>
          <w:ilvl w:val="0"/>
          <w:numId w:val="1"/>
        </w:numPr>
        <w:ind w:firstLine="600" w:firstLineChars="200"/>
        <w:rPr>
          <w:rFonts w:hint="eastAsia" w:ascii="仿宋" w:hAnsi="仿宋" w:eastAsia="仿宋" w:cs="仿宋"/>
          <w:sz w:val="30"/>
          <w:szCs w:val="30"/>
        </w:rPr>
      </w:pPr>
      <w:r>
        <w:rPr>
          <w:rFonts w:hint="eastAsia" w:ascii="仿宋" w:hAnsi="仿宋" w:eastAsia="仿宋" w:cs="仿宋"/>
          <w:sz w:val="30"/>
          <w:szCs w:val="30"/>
        </w:rPr>
        <w:t>办公空间（银行、学校、机关等）；</w:t>
      </w:r>
    </w:p>
    <w:p w14:paraId="1D1F1B20">
      <w:pPr>
        <w:numPr>
          <w:ilvl w:val="0"/>
          <w:numId w:val="0"/>
        </w:numPr>
        <w:ind w:firstLine="600" w:firstLineChars="200"/>
        <w:rPr>
          <w:rFonts w:hint="eastAsia" w:ascii="仿宋" w:hAnsi="仿宋" w:eastAsia="仿宋" w:cs="仿宋"/>
          <w:sz w:val="30"/>
          <w:szCs w:val="30"/>
        </w:rPr>
      </w:pPr>
      <w:r>
        <w:rPr>
          <w:rFonts w:hint="eastAsia" w:ascii="仿宋" w:hAnsi="仿宋" w:eastAsia="仿宋" w:cs="仿宋"/>
          <w:sz w:val="30"/>
          <w:szCs w:val="30"/>
        </w:rPr>
        <w:t>2. 商业空间（购物中心、售楼处等）；</w:t>
      </w:r>
    </w:p>
    <w:p w14:paraId="08E14DD7">
      <w:pPr>
        <w:ind w:firstLine="600" w:firstLineChars="200"/>
        <w:rPr>
          <w:rFonts w:hint="eastAsia" w:ascii="仿宋" w:hAnsi="仿宋" w:eastAsia="仿宋" w:cs="仿宋"/>
          <w:sz w:val="30"/>
          <w:szCs w:val="30"/>
        </w:rPr>
      </w:pPr>
      <w:r>
        <w:rPr>
          <w:rFonts w:hint="eastAsia" w:ascii="仿宋" w:hAnsi="仿宋" w:eastAsia="仿宋" w:cs="仿宋"/>
          <w:sz w:val="30"/>
          <w:szCs w:val="30"/>
        </w:rPr>
        <w:t>3. 酒店餐饮空间（商业酒店、民宿等）；</w:t>
      </w:r>
    </w:p>
    <w:p w14:paraId="1A880B9D">
      <w:pPr>
        <w:ind w:firstLine="600" w:firstLineChars="200"/>
        <w:rPr>
          <w:rFonts w:hint="eastAsia" w:ascii="仿宋" w:hAnsi="仿宋" w:eastAsia="仿宋" w:cs="仿宋"/>
          <w:sz w:val="30"/>
          <w:szCs w:val="30"/>
        </w:rPr>
      </w:pPr>
      <w:r>
        <w:rPr>
          <w:rFonts w:hint="eastAsia" w:ascii="仿宋" w:hAnsi="仿宋" w:eastAsia="仿宋" w:cs="仿宋"/>
          <w:sz w:val="30"/>
          <w:szCs w:val="30"/>
        </w:rPr>
        <w:t>4. 娱乐会所空间（酒吧、KTV等）；</w:t>
      </w:r>
    </w:p>
    <w:p w14:paraId="0205CF0C">
      <w:pPr>
        <w:ind w:firstLine="600" w:firstLineChars="200"/>
        <w:rPr>
          <w:rFonts w:hint="eastAsia" w:ascii="仿宋" w:hAnsi="仿宋" w:eastAsia="仿宋" w:cs="仿宋"/>
          <w:sz w:val="30"/>
          <w:szCs w:val="30"/>
        </w:rPr>
      </w:pPr>
      <w:r>
        <w:rPr>
          <w:rFonts w:hint="eastAsia" w:ascii="仿宋" w:hAnsi="仿宋" w:eastAsia="仿宋" w:cs="仿宋"/>
          <w:sz w:val="30"/>
          <w:szCs w:val="30"/>
        </w:rPr>
        <w:t>5. 文教空间（图书馆、教育机构等）；</w:t>
      </w:r>
    </w:p>
    <w:p w14:paraId="758C7402">
      <w:pPr>
        <w:ind w:firstLine="600" w:firstLineChars="200"/>
        <w:rPr>
          <w:rFonts w:hint="eastAsia" w:ascii="仿宋" w:hAnsi="仿宋" w:eastAsia="仿宋" w:cs="仿宋"/>
          <w:sz w:val="30"/>
          <w:szCs w:val="30"/>
        </w:rPr>
      </w:pPr>
      <w:r>
        <w:rPr>
          <w:rFonts w:hint="eastAsia" w:ascii="仿宋" w:hAnsi="仿宋" w:eastAsia="仿宋" w:cs="仿宋"/>
          <w:sz w:val="30"/>
          <w:szCs w:val="30"/>
        </w:rPr>
        <w:t>6. 展陈空间（博物馆、展览馆等）；</w:t>
      </w:r>
    </w:p>
    <w:p w14:paraId="43BCC196">
      <w:pPr>
        <w:ind w:firstLine="600" w:firstLineChars="200"/>
        <w:rPr>
          <w:rFonts w:hint="eastAsia" w:ascii="仿宋" w:hAnsi="仿宋" w:eastAsia="仿宋" w:cs="仿宋"/>
          <w:sz w:val="30"/>
          <w:szCs w:val="30"/>
        </w:rPr>
      </w:pPr>
      <w:r>
        <w:rPr>
          <w:rFonts w:hint="eastAsia" w:ascii="仿宋" w:hAnsi="仿宋" w:eastAsia="仿宋" w:cs="仿宋"/>
          <w:sz w:val="30"/>
          <w:szCs w:val="30"/>
        </w:rPr>
        <w:t>7. 交通体育空间（机场、体育馆等）；</w:t>
      </w:r>
    </w:p>
    <w:p w14:paraId="6A47E381">
      <w:pPr>
        <w:ind w:firstLine="600" w:firstLineChars="200"/>
        <w:rPr>
          <w:rFonts w:hint="eastAsia" w:ascii="仿宋" w:hAnsi="仿宋" w:eastAsia="仿宋" w:cs="仿宋"/>
          <w:sz w:val="30"/>
          <w:szCs w:val="30"/>
        </w:rPr>
      </w:pPr>
      <w:r>
        <w:rPr>
          <w:rFonts w:hint="eastAsia" w:ascii="仿宋" w:hAnsi="仿宋" w:eastAsia="仿宋" w:cs="仿宋"/>
          <w:sz w:val="30"/>
          <w:szCs w:val="30"/>
        </w:rPr>
        <w:t>8. 医疗康养空间（医院、养老院等）；</w:t>
      </w:r>
    </w:p>
    <w:p w14:paraId="2521AE42">
      <w:pPr>
        <w:ind w:firstLine="600" w:firstLineChars="200"/>
        <w:rPr>
          <w:rFonts w:hint="eastAsia" w:ascii="仿宋" w:hAnsi="仿宋" w:eastAsia="仿宋" w:cs="仿宋"/>
          <w:sz w:val="30"/>
          <w:szCs w:val="30"/>
        </w:rPr>
      </w:pPr>
      <w:r>
        <w:rPr>
          <w:rFonts w:hint="eastAsia" w:ascii="仿宋" w:hAnsi="仿宋" w:eastAsia="仿宋" w:cs="仿宋"/>
          <w:sz w:val="30"/>
          <w:szCs w:val="30"/>
        </w:rPr>
        <w:t>9. 园林幕墙（园林规划、建筑幕墙等）；</w:t>
      </w:r>
    </w:p>
    <w:p w14:paraId="1ADCC8D4">
      <w:pPr>
        <w:ind w:firstLine="600" w:firstLineChars="200"/>
        <w:rPr>
          <w:rFonts w:hint="eastAsia" w:ascii="仿宋" w:hAnsi="仿宋" w:eastAsia="仿宋" w:cs="仿宋"/>
          <w:sz w:val="30"/>
          <w:szCs w:val="30"/>
        </w:rPr>
      </w:pPr>
      <w:r>
        <w:rPr>
          <w:rFonts w:hint="eastAsia" w:ascii="仿宋" w:hAnsi="仿宋" w:eastAsia="仿宋" w:cs="仿宋"/>
          <w:sz w:val="30"/>
          <w:szCs w:val="30"/>
        </w:rPr>
        <w:t>10. 陈设艺术（家具、灯具、艺术品搭配等）。</w:t>
      </w:r>
    </w:p>
    <w:p w14:paraId="20B50C71">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第七条</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品牌</w:t>
      </w:r>
      <w:r>
        <w:rPr>
          <w:rFonts w:hint="eastAsia" w:ascii="仿宋" w:hAnsi="仿宋" w:eastAsia="仿宋" w:cs="仿宋"/>
          <w:sz w:val="30"/>
          <w:szCs w:val="30"/>
        </w:rPr>
        <w:t>评价指标</w:t>
      </w:r>
    </w:p>
    <w:p w14:paraId="06674CCC">
      <w:pPr>
        <w:ind w:firstLine="600" w:firstLineChars="200"/>
        <w:rPr>
          <w:rFonts w:hint="eastAsia" w:ascii="仿宋" w:hAnsi="仿宋" w:eastAsia="仿宋" w:cs="仿宋"/>
          <w:sz w:val="30"/>
          <w:szCs w:val="30"/>
        </w:rPr>
      </w:pPr>
      <w:r>
        <w:rPr>
          <w:rFonts w:hint="eastAsia" w:ascii="仿宋" w:hAnsi="仿宋" w:eastAsia="仿宋" w:cs="仿宋"/>
          <w:sz w:val="30"/>
          <w:szCs w:val="30"/>
        </w:rPr>
        <w:t>1. 基础信用信息（3</w:t>
      </w:r>
      <w:r>
        <w:rPr>
          <w:rFonts w:hint="eastAsia" w:ascii="仿宋" w:hAnsi="仿宋" w:eastAsia="仿宋" w:cs="仿宋"/>
          <w:sz w:val="30"/>
          <w:szCs w:val="30"/>
          <w:lang w:val="en-US" w:eastAsia="zh-CN"/>
        </w:rPr>
        <w:t>5</w:t>
      </w:r>
      <w:r>
        <w:rPr>
          <w:rFonts w:hint="eastAsia" w:ascii="仿宋" w:hAnsi="仿宋" w:eastAsia="仿宋" w:cs="仿宋"/>
          <w:sz w:val="30"/>
          <w:szCs w:val="30"/>
        </w:rPr>
        <w:t>分）：</w:t>
      </w:r>
    </w:p>
    <w:p w14:paraId="2A5C0A66">
      <w:pPr>
        <w:ind w:firstLine="600"/>
        <w:rPr>
          <w:rFonts w:hint="eastAsia" w:ascii="仿宋" w:hAnsi="仿宋" w:eastAsia="仿宋" w:cs="仿宋"/>
          <w:sz w:val="30"/>
          <w:szCs w:val="30"/>
          <w:lang w:val="en-US" w:eastAsia="zh-CN"/>
        </w:rPr>
      </w:pPr>
      <w:r>
        <w:rPr>
          <w:rFonts w:hint="eastAsia" w:ascii="仿宋" w:hAnsi="仿宋" w:eastAsia="仿宋" w:cs="仿宋"/>
          <w:sz w:val="30"/>
          <w:szCs w:val="30"/>
        </w:rPr>
        <w:t>企业资质、经营年限、人员配置、管理制度等。</w:t>
      </w:r>
      <w:r>
        <w:rPr>
          <w:rFonts w:hint="eastAsia" w:ascii="仿宋" w:hAnsi="仿宋" w:eastAsia="仿宋" w:cs="仿宋"/>
          <w:sz w:val="30"/>
          <w:szCs w:val="30"/>
          <w:lang w:val="en-US" w:eastAsia="zh-CN"/>
        </w:rPr>
        <w:t xml:space="preserve"> </w:t>
      </w:r>
    </w:p>
    <w:p w14:paraId="32E6FDBC">
      <w:pPr>
        <w:ind w:firstLine="600"/>
        <w:rPr>
          <w:rFonts w:hint="eastAsia" w:ascii="仿宋" w:hAnsi="仿宋" w:eastAsia="仿宋" w:cs="仿宋"/>
          <w:sz w:val="30"/>
          <w:szCs w:val="30"/>
        </w:rPr>
      </w:pPr>
      <w:r>
        <w:rPr>
          <w:rFonts w:hint="eastAsia" w:ascii="仿宋" w:hAnsi="仿宋" w:eastAsia="仿宋" w:cs="仿宋"/>
          <w:sz w:val="30"/>
          <w:szCs w:val="30"/>
        </w:rPr>
        <w:t>2. 优良信用信息（5</w:t>
      </w:r>
      <w:r>
        <w:rPr>
          <w:rFonts w:hint="eastAsia" w:ascii="仿宋" w:hAnsi="仿宋" w:eastAsia="仿宋" w:cs="仿宋"/>
          <w:sz w:val="30"/>
          <w:szCs w:val="30"/>
          <w:lang w:val="en-US" w:eastAsia="zh-CN"/>
        </w:rPr>
        <w:t>5</w:t>
      </w:r>
      <w:r>
        <w:rPr>
          <w:rFonts w:hint="eastAsia" w:ascii="仿宋" w:hAnsi="仿宋" w:eastAsia="仿宋" w:cs="仿宋"/>
          <w:sz w:val="30"/>
          <w:szCs w:val="30"/>
        </w:rPr>
        <w:t>分）：</w:t>
      </w:r>
    </w:p>
    <w:p w14:paraId="1BD4A371">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获奖情况（国家级/省级奖项）、合同额排名、技术创新（如装配式工艺、节能环保技术应用）；</w:t>
      </w:r>
    </w:p>
    <w:p w14:paraId="4B638413">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社会责任（公益捐赠、抢险救灾参与）；</w:t>
      </w:r>
    </w:p>
    <w:p w14:paraId="4EE90209">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行业自律（签署诚信公约、无违规投诉）。</w:t>
      </w:r>
    </w:p>
    <w:p w14:paraId="1FB71C5C">
      <w:pPr>
        <w:ind w:firstLine="600" w:firstLineChars="200"/>
        <w:rPr>
          <w:rFonts w:hint="eastAsia" w:ascii="仿宋" w:hAnsi="仿宋" w:eastAsia="仿宋" w:cs="仿宋"/>
          <w:sz w:val="30"/>
          <w:szCs w:val="30"/>
        </w:rPr>
      </w:pPr>
      <w:r>
        <w:rPr>
          <w:rFonts w:hint="eastAsia" w:ascii="仿宋" w:hAnsi="仿宋" w:eastAsia="仿宋" w:cs="仿宋"/>
          <w:sz w:val="30"/>
          <w:szCs w:val="30"/>
        </w:rPr>
        <w:t>3. 不良信用信息（扣分项）：</w:t>
      </w:r>
    </w:p>
    <w:p w14:paraId="041638AD">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行政处罚、质量安全事故、转包分包、拖欠农民工工资等（依据《山西省建筑市场信用管理办法》负面清单）。</w:t>
      </w:r>
    </w:p>
    <w:p w14:paraId="2D726818">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第八条</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品牌</w:t>
      </w:r>
      <w:r>
        <w:rPr>
          <w:rFonts w:hint="eastAsia" w:ascii="仿宋" w:hAnsi="仿宋" w:eastAsia="仿宋" w:cs="仿宋"/>
          <w:sz w:val="30"/>
          <w:szCs w:val="30"/>
        </w:rPr>
        <w:t>评价等级</w:t>
      </w:r>
    </w:p>
    <w:p w14:paraId="712624A2">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1、A级</w:t>
      </w:r>
      <w:r>
        <w:rPr>
          <w:rFonts w:hint="eastAsia" w:ascii="仿宋" w:hAnsi="仿宋" w:eastAsia="仿宋" w:cs="仿宋"/>
          <w:sz w:val="30"/>
          <w:szCs w:val="30"/>
        </w:rPr>
        <w:t>（60-79分）</w:t>
      </w:r>
      <w:r>
        <w:rPr>
          <w:rFonts w:hint="eastAsia" w:ascii="仿宋" w:hAnsi="仿宋" w:eastAsia="仿宋" w:cs="仿宋"/>
          <w:sz w:val="30"/>
          <w:szCs w:val="30"/>
          <w:lang w:val="en-US" w:eastAsia="zh-CN"/>
        </w:rPr>
        <w:t>；</w:t>
      </w:r>
    </w:p>
    <w:p w14:paraId="42E2618B">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rPr>
        <w:t>AA级（80-89分）</w:t>
      </w:r>
      <w:r>
        <w:rPr>
          <w:rFonts w:hint="eastAsia" w:ascii="仿宋" w:hAnsi="仿宋" w:eastAsia="仿宋" w:cs="仿宋"/>
          <w:sz w:val="30"/>
          <w:szCs w:val="30"/>
          <w:lang w:val="en-US" w:eastAsia="zh-CN"/>
        </w:rPr>
        <w:t>；</w:t>
      </w:r>
    </w:p>
    <w:p w14:paraId="51827CE9">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rPr>
        <w:t>AAA级（90分及以上）</w:t>
      </w:r>
      <w:r>
        <w:rPr>
          <w:rFonts w:hint="eastAsia" w:ascii="仿宋" w:hAnsi="仿宋" w:eastAsia="仿宋" w:cs="仿宋"/>
          <w:sz w:val="30"/>
          <w:szCs w:val="30"/>
          <w:lang w:eastAsia="zh-CN"/>
        </w:rPr>
        <w:t>。</w:t>
      </w:r>
    </w:p>
    <w:p w14:paraId="76C5C60E">
      <w:pPr>
        <w:jc w:val="center"/>
        <w:rPr>
          <w:rFonts w:hint="eastAsia" w:ascii="黑体" w:hAnsi="黑体" w:eastAsia="黑体" w:cs="黑体"/>
          <w:sz w:val="30"/>
          <w:szCs w:val="30"/>
        </w:rPr>
      </w:pPr>
      <w:r>
        <w:rPr>
          <w:rFonts w:hint="eastAsia" w:ascii="黑体" w:hAnsi="黑体" w:eastAsia="黑体" w:cs="黑体"/>
          <w:sz w:val="30"/>
          <w:szCs w:val="30"/>
        </w:rPr>
        <w:t>第四章 评价程序</w:t>
      </w:r>
    </w:p>
    <w:p w14:paraId="3D9CF5D1">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第九条</w:t>
      </w:r>
      <w:r>
        <w:rPr>
          <w:rFonts w:hint="eastAsia" w:ascii="仿宋" w:hAnsi="仿宋" w:eastAsia="仿宋" w:cs="仿宋"/>
          <w:sz w:val="30"/>
          <w:szCs w:val="30"/>
        </w:rPr>
        <w:t xml:space="preserve"> 申报与初审</w:t>
      </w:r>
    </w:p>
    <w:p w14:paraId="735A3A8E">
      <w:pPr>
        <w:ind w:firstLine="600" w:firstLineChars="200"/>
        <w:rPr>
          <w:rFonts w:hint="eastAsia" w:ascii="仿宋" w:hAnsi="仿宋" w:eastAsia="仿宋" w:cs="仿宋"/>
          <w:sz w:val="30"/>
          <w:szCs w:val="30"/>
        </w:rPr>
      </w:pPr>
      <w:r>
        <w:rPr>
          <w:rFonts w:hint="eastAsia" w:ascii="仿宋" w:hAnsi="仿宋" w:eastAsia="仿宋" w:cs="仿宋"/>
          <w:sz w:val="30"/>
          <w:szCs w:val="30"/>
        </w:rPr>
        <w:t>1. 年度申报：每年</w:t>
      </w:r>
      <w:r>
        <w:rPr>
          <w:rFonts w:hint="eastAsia" w:ascii="仿宋" w:hAnsi="仿宋" w:eastAsia="仿宋" w:cs="仿宋"/>
          <w:sz w:val="30"/>
          <w:szCs w:val="30"/>
          <w:lang w:val="en-US" w:eastAsia="zh-CN"/>
        </w:rPr>
        <w:t>信用评价后1个月（详细时间以协会通知为准）</w:t>
      </w:r>
      <w:r>
        <w:rPr>
          <w:rFonts w:hint="eastAsia" w:ascii="仿宋" w:hAnsi="仿宋" w:eastAsia="仿宋" w:cs="仿宋"/>
          <w:sz w:val="30"/>
          <w:szCs w:val="30"/>
        </w:rPr>
        <w:t>，企业通过省协会提交材料（资质证明、合同额清单、获奖证书等）；</w:t>
      </w:r>
    </w:p>
    <w:p w14:paraId="517FAE4D">
      <w:pPr>
        <w:ind w:firstLine="600" w:firstLineChars="200"/>
        <w:rPr>
          <w:rFonts w:hint="eastAsia" w:ascii="仿宋" w:hAnsi="仿宋" w:eastAsia="仿宋" w:cs="仿宋"/>
          <w:sz w:val="30"/>
          <w:szCs w:val="30"/>
        </w:rPr>
      </w:pPr>
      <w:r>
        <w:rPr>
          <w:rFonts w:hint="eastAsia" w:ascii="仿宋" w:hAnsi="仿宋" w:eastAsia="仿宋" w:cs="仿宋"/>
          <w:sz w:val="30"/>
          <w:szCs w:val="30"/>
        </w:rPr>
        <w:t>2. 初审：</w:t>
      </w:r>
      <w:r>
        <w:rPr>
          <w:rFonts w:hint="eastAsia" w:ascii="仿宋" w:hAnsi="仿宋" w:eastAsia="仿宋" w:cs="仿宋"/>
          <w:sz w:val="30"/>
          <w:szCs w:val="30"/>
          <w:lang w:val="en-US" w:eastAsia="zh-CN"/>
        </w:rPr>
        <w:t>协会信用评价</w:t>
      </w:r>
      <w:r>
        <w:rPr>
          <w:rFonts w:hint="eastAsia" w:ascii="仿宋" w:hAnsi="仿宋" w:eastAsia="仿宋" w:cs="仿宋"/>
          <w:sz w:val="30"/>
          <w:szCs w:val="30"/>
        </w:rPr>
        <w:t>办公室对材料完整性审核，不符合要求的限期补正。</w:t>
      </w:r>
    </w:p>
    <w:p w14:paraId="14B89AE6">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第十条</w:t>
      </w:r>
      <w:r>
        <w:rPr>
          <w:rFonts w:hint="eastAsia" w:ascii="仿宋" w:hAnsi="仿宋" w:eastAsia="仿宋" w:cs="仿宋"/>
          <w:sz w:val="30"/>
          <w:szCs w:val="30"/>
        </w:rPr>
        <w:t xml:space="preserve"> 现场复查（必要时）</w:t>
      </w:r>
    </w:p>
    <w:p w14:paraId="01BF4900">
      <w:pPr>
        <w:ind w:firstLine="600" w:firstLineChars="200"/>
        <w:rPr>
          <w:rFonts w:hint="eastAsia" w:ascii="仿宋" w:hAnsi="仿宋" w:eastAsia="仿宋" w:cs="仿宋"/>
          <w:sz w:val="30"/>
          <w:szCs w:val="30"/>
        </w:rPr>
      </w:pPr>
      <w:r>
        <w:rPr>
          <w:rFonts w:hint="eastAsia" w:ascii="仿宋" w:hAnsi="仿宋" w:eastAsia="仿宋" w:cs="仿宋"/>
          <w:sz w:val="30"/>
          <w:szCs w:val="30"/>
        </w:rPr>
        <w:t>1. 对</w:t>
      </w:r>
      <w:r>
        <w:rPr>
          <w:rFonts w:hint="eastAsia" w:ascii="仿宋" w:hAnsi="仿宋" w:eastAsia="仿宋" w:cs="仿宋"/>
          <w:sz w:val="30"/>
          <w:szCs w:val="30"/>
          <w:lang w:val="en-US" w:eastAsia="zh-CN"/>
        </w:rPr>
        <w:t>拟纳入AAA级</w:t>
      </w:r>
      <w:r>
        <w:rPr>
          <w:rFonts w:hint="eastAsia" w:ascii="仿宋" w:hAnsi="仿宋" w:eastAsia="仿宋" w:cs="仿宋"/>
          <w:sz w:val="30"/>
          <w:szCs w:val="30"/>
        </w:rPr>
        <w:t>的企业进行实地核查，重点验证项目真实性、质量安全管理等；</w:t>
      </w:r>
    </w:p>
    <w:p w14:paraId="1A3D124A">
      <w:pPr>
        <w:ind w:firstLine="600" w:firstLineChars="200"/>
        <w:rPr>
          <w:rFonts w:hint="eastAsia" w:ascii="仿宋" w:hAnsi="仿宋" w:eastAsia="仿宋" w:cs="仿宋"/>
          <w:sz w:val="30"/>
          <w:szCs w:val="30"/>
        </w:rPr>
      </w:pPr>
      <w:r>
        <w:rPr>
          <w:rFonts w:hint="eastAsia" w:ascii="仿宋" w:hAnsi="仿宋" w:eastAsia="仿宋" w:cs="仿宋"/>
          <w:sz w:val="30"/>
          <w:szCs w:val="30"/>
        </w:rPr>
        <w:t>2. 复查结果作为评分重要依据。</w:t>
      </w:r>
    </w:p>
    <w:p w14:paraId="567C2F20">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第十一条</w:t>
      </w:r>
      <w:r>
        <w:rPr>
          <w:rFonts w:hint="eastAsia" w:ascii="仿宋" w:hAnsi="仿宋" w:eastAsia="仿宋" w:cs="仿宋"/>
          <w:sz w:val="30"/>
          <w:szCs w:val="30"/>
        </w:rPr>
        <w:t xml:space="preserve"> 终审与公示</w:t>
      </w:r>
    </w:p>
    <w:p w14:paraId="07EA8576">
      <w:pPr>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1. </w:t>
      </w:r>
      <w:r>
        <w:rPr>
          <w:rFonts w:hint="eastAsia" w:ascii="仿宋" w:hAnsi="仿宋" w:eastAsia="仿宋" w:cs="仿宋"/>
          <w:sz w:val="30"/>
          <w:szCs w:val="30"/>
          <w:lang w:val="en-US" w:eastAsia="zh-CN"/>
        </w:rPr>
        <w:t>专家组</w:t>
      </w:r>
      <w:r>
        <w:rPr>
          <w:rFonts w:hint="eastAsia" w:ascii="仿宋" w:hAnsi="仿宋" w:eastAsia="仿宋" w:cs="仿宋"/>
          <w:sz w:val="30"/>
          <w:szCs w:val="30"/>
        </w:rPr>
        <w:t>综合评审，确定信用等级；</w:t>
      </w:r>
    </w:p>
    <w:p w14:paraId="545AE63B">
      <w:pPr>
        <w:ind w:firstLine="600" w:firstLineChars="200"/>
        <w:rPr>
          <w:rFonts w:hint="eastAsia" w:ascii="仿宋" w:hAnsi="仿宋" w:eastAsia="仿宋" w:cs="仿宋"/>
          <w:sz w:val="30"/>
          <w:szCs w:val="30"/>
        </w:rPr>
      </w:pPr>
      <w:r>
        <w:rPr>
          <w:rFonts w:hint="eastAsia" w:ascii="仿宋" w:hAnsi="仿宋" w:eastAsia="仿宋" w:cs="仿宋"/>
          <w:sz w:val="30"/>
          <w:szCs w:val="30"/>
        </w:rPr>
        <w:t>2. 结果在省协会</w:t>
      </w:r>
      <w:r>
        <w:rPr>
          <w:rFonts w:hint="eastAsia" w:ascii="仿宋" w:hAnsi="仿宋" w:eastAsia="仿宋" w:cs="仿宋"/>
          <w:sz w:val="30"/>
          <w:szCs w:val="30"/>
          <w:lang w:val="en-US" w:eastAsia="zh-CN"/>
        </w:rPr>
        <w:t>官网</w:t>
      </w:r>
      <w:r>
        <w:rPr>
          <w:rFonts w:hint="eastAsia" w:ascii="仿宋" w:hAnsi="仿宋" w:eastAsia="仿宋" w:cs="仿宋"/>
          <w:sz w:val="30"/>
          <w:szCs w:val="30"/>
        </w:rPr>
        <w:t>公示7个工作日，接受异议申诉。</w:t>
      </w:r>
    </w:p>
    <w:p w14:paraId="31887912">
      <w:pPr>
        <w:ind w:firstLine="600" w:firstLineChars="200"/>
        <w:jc w:val="center"/>
        <w:rPr>
          <w:rFonts w:hint="eastAsia" w:ascii="仿宋" w:hAnsi="仿宋" w:eastAsia="仿宋" w:cs="仿宋"/>
          <w:sz w:val="30"/>
          <w:szCs w:val="30"/>
        </w:rPr>
      </w:pPr>
      <w:r>
        <w:rPr>
          <w:rFonts w:hint="eastAsia" w:ascii="黑体" w:hAnsi="黑体" w:eastAsia="黑体" w:cs="黑体"/>
          <w:sz w:val="30"/>
          <w:szCs w:val="30"/>
        </w:rPr>
        <w:t>第五章 结果应用</w:t>
      </w:r>
    </w:p>
    <w:p w14:paraId="67B76639">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第十二条</w:t>
      </w:r>
      <w:r>
        <w:rPr>
          <w:rFonts w:hint="eastAsia" w:ascii="仿宋" w:hAnsi="仿宋" w:eastAsia="仿宋" w:cs="仿宋"/>
          <w:sz w:val="30"/>
          <w:szCs w:val="30"/>
        </w:rPr>
        <w:t xml:space="preserve"> 激励措施</w:t>
      </w:r>
    </w:p>
    <w:p w14:paraId="2C0FAFA2">
      <w:pPr>
        <w:ind w:firstLine="600" w:firstLineChars="200"/>
        <w:rPr>
          <w:rFonts w:hint="eastAsia" w:ascii="仿宋" w:hAnsi="仿宋" w:eastAsia="仿宋" w:cs="仿宋"/>
          <w:sz w:val="30"/>
          <w:szCs w:val="30"/>
        </w:rPr>
      </w:pPr>
      <w:r>
        <w:rPr>
          <w:rFonts w:hint="eastAsia" w:ascii="仿宋" w:hAnsi="仿宋" w:eastAsia="仿宋" w:cs="仿宋"/>
          <w:sz w:val="30"/>
          <w:szCs w:val="30"/>
        </w:rPr>
        <w:t>1. 政策支持：</w:t>
      </w:r>
    </w:p>
    <w:p w14:paraId="1469E6CE">
      <w:pPr>
        <w:rPr>
          <w:rFonts w:hint="default" w:ascii="仿宋" w:hAnsi="仿宋" w:eastAsia="仿宋" w:cs="仿宋"/>
          <w:sz w:val="30"/>
          <w:szCs w:val="30"/>
          <w:lang w:val="en-US" w:eastAsia="zh-CN"/>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AAA级</w:t>
      </w:r>
      <w:r>
        <w:rPr>
          <w:rFonts w:hint="eastAsia" w:ascii="仿宋" w:hAnsi="仿宋" w:eastAsia="仿宋" w:cs="仿宋"/>
          <w:sz w:val="30"/>
          <w:szCs w:val="30"/>
          <w:lang w:val="en-US" w:eastAsia="zh-CN"/>
        </w:rPr>
        <w:t>细分领域品牌</w:t>
      </w:r>
      <w:r>
        <w:rPr>
          <w:rFonts w:hint="eastAsia" w:ascii="仿宋" w:hAnsi="仿宋" w:eastAsia="仿宋" w:cs="仿宋"/>
          <w:sz w:val="30"/>
          <w:szCs w:val="30"/>
        </w:rPr>
        <w:t>企业优先推荐申报</w:t>
      </w:r>
      <w:r>
        <w:rPr>
          <w:rFonts w:hint="eastAsia" w:ascii="仿宋" w:hAnsi="仿宋" w:eastAsia="仿宋" w:cs="仿宋"/>
          <w:sz w:val="30"/>
          <w:szCs w:val="30"/>
          <w:lang w:val="en-US" w:eastAsia="zh-CN"/>
        </w:rPr>
        <w:t>协会年度</w:t>
      </w:r>
      <w:r>
        <w:rPr>
          <w:rFonts w:hint="eastAsia" w:ascii="仿宋" w:hAnsi="仿宋" w:eastAsia="仿宋" w:cs="仿宋"/>
          <w:sz w:val="30"/>
          <w:szCs w:val="30"/>
        </w:rPr>
        <w:t>“山西省</w:t>
      </w:r>
      <w:r>
        <w:rPr>
          <w:rFonts w:hint="eastAsia" w:ascii="仿宋" w:hAnsi="仿宋" w:eastAsia="仿宋" w:cs="仿宋"/>
          <w:sz w:val="30"/>
          <w:szCs w:val="30"/>
          <w:lang w:val="en-US" w:eastAsia="zh-CN"/>
        </w:rPr>
        <w:t>建筑装饰XX</w:t>
      </w:r>
      <w:r>
        <w:rPr>
          <w:rFonts w:hint="eastAsia" w:ascii="仿宋" w:hAnsi="仿宋" w:eastAsia="仿宋" w:cs="仿宋"/>
          <w:sz w:val="30"/>
          <w:szCs w:val="30"/>
        </w:rPr>
        <w:t>骨干企业”</w:t>
      </w:r>
      <w:r>
        <w:rPr>
          <w:rFonts w:hint="eastAsia" w:ascii="仿宋" w:hAnsi="仿宋" w:eastAsia="仿宋" w:cs="仿宋"/>
          <w:sz w:val="30"/>
          <w:szCs w:val="30"/>
          <w:lang w:val="en-US" w:eastAsia="zh-CN"/>
        </w:rPr>
        <w:t>并推荐参评“山西精品”评选</w:t>
      </w:r>
      <w:r>
        <w:rPr>
          <w:rFonts w:hint="eastAsia" w:ascii="仿宋" w:hAnsi="仿宋" w:eastAsia="仿宋" w:cs="仿宋"/>
          <w:sz w:val="30"/>
          <w:szCs w:val="30"/>
        </w:rPr>
        <w:t>；</w:t>
      </w:r>
      <w:r>
        <w:rPr>
          <w:rFonts w:hint="eastAsia" w:ascii="仿宋" w:hAnsi="仿宋" w:eastAsia="仿宋" w:cs="仿宋"/>
          <w:sz w:val="30"/>
          <w:szCs w:val="30"/>
          <w:lang w:val="en-US" w:eastAsia="zh-CN"/>
        </w:rPr>
        <w:t>AA级以上企业颁发年度（XX细分领域）标杆企业；</w:t>
      </w:r>
    </w:p>
    <w:p w14:paraId="2F900820">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细分领域品牌评价结果排名将抄报有关政府部门、各单位上级部门；</w:t>
      </w:r>
      <w:r>
        <w:rPr>
          <w:rFonts w:hint="eastAsia" w:ascii="仿宋" w:hAnsi="仿宋" w:eastAsia="仿宋" w:cs="仿宋"/>
          <w:sz w:val="30"/>
          <w:szCs w:val="30"/>
        </w:rPr>
        <w:t>参与政府投资项目招投标时，</w:t>
      </w:r>
      <w:r>
        <w:rPr>
          <w:rFonts w:hint="eastAsia" w:ascii="仿宋" w:hAnsi="仿宋" w:eastAsia="仿宋" w:cs="仿宋"/>
          <w:sz w:val="30"/>
          <w:szCs w:val="30"/>
          <w:lang w:val="en-US" w:eastAsia="zh-CN"/>
        </w:rPr>
        <w:t>建议</w:t>
      </w:r>
      <w:r>
        <w:rPr>
          <w:rFonts w:hint="eastAsia" w:ascii="仿宋" w:hAnsi="仿宋" w:eastAsia="仿宋" w:cs="仿宋"/>
          <w:sz w:val="30"/>
          <w:szCs w:val="30"/>
        </w:rPr>
        <w:t>信用分值按最高权重计入。</w:t>
      </w:r>
    </w:p>
    <w:p w14:paraId="6120821E">
      <w:pPr>
        <w:ind w:firstLine="600" w:firstLineChars="200"/>
        <w:rPr>
          <w:rFonts w:hint="eastAsia" w:ascii="仿宋" w:hAnsi="仿宋" w:eastAsia="仿宋" w:cs="仿宋"/>
          <w:sz w:val="30"/>
          <w:szCs w:val="30"/>
        </w:rPr>
      </w:pPr>
      <w:r>
        <w:rPr>
          <w:rFonts w:hint="eastAsia" w:ascii="仿宋" w:hAnsi="仿宋" w:eastAsia="仿宋" w:cs="仿宋"/>
          <w:sz w:val="30"/>
          <w:szCs w:val="30"/>
        </w:rPr>
        <w:t>2. 宣传推广：</w:t>
      </w:r>
    </w:p>
    <w:p w14:paraId="335457C1">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A级以上企业</w:t>
      </w:r>
      <w:r>
        <w:rPr>
          <w:rFonts w:hint="eastAsia" w:ascii="仿宋" w:hAnsi="仿宋" w:eastAsia="仿宋" w:cs="仿宋"/>
          <w:sz w:val="30"/>
          <w:szCs w:val="30"/>
        </w:rPr>
        <w:t>颁发《山西省建筑装饰行业</w:t>
      </w:r>
      <w:r>
        <w:rPr>
          <w:rFonts w:hint="eastAsia" w:ascii="仿宋" w:hAnsi="仿宋" w:eastAsia="仿宋" w:cs="仿宋"/>
          <w:sz w:val="30"/>
          <w:szCs w:val="30"/>
          <w:lang w:val="en-US" w:eastAsia="zh-CN"/>
        </w:rPr>
        <w:t>XX细分领域品牌</w:t>
      </w:r>
      <w:r>
        <w:rPr>
          <w:rFonts w:hint="eastAsia" w:ascii="仿宋" w:hAnsi="仿宋" w:eastAsia="仿宋" w:cs="仿宋"/>
          <w:sz w:val="30"/>
          <w:szCs w:val="30"/>
        </w:rPr>
        <w:t>证书》；</w:t>
      </w:r>
    </w:p>
    <w:p w14:paraId="384E3937">
      <w:pPr>
        <w:rPr>
          <w:rFonts w:hint="eastAsia"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联合主流媒体发布“诚信</w:t>
      </w:r>
      <w:r>
        <w:rPr>
          <w:rFonts w:hint="eastAsia" w:ascii="仿宋" w:hAnsi="仿宋" w:eastAsia="仿宋" w:cs="仿宋"/>
          <w:sz w:val="30"/>
          <w:szCs w:val="30"/>
          <w:lang w:val="en-US" w:eastAsia="zh-CN"/>
        </w:rPr>
        <w:t>及综合品牌</w:t>
      </w:r>
      <w:r>
        <w:rPr>
          <w:rFonts w:hint="eastAsia" w:ascii="仿宋" w:hAnsi="仿宋" w:eastAsia="仿宋" w:cs="仿宋"/>
          <w:sz w:val="30"/>
          <w:szCs w:val="30"/>
        </w:rPr>
        <w:t>企业榜单”，扩大社会影响力。</w:t>
      </w:r>
    </w:p>
    <w:p w14:paraId="46970A6C">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第十三条</w:t>
      </w:r>
      <w:r>
        <w:rPr>
          <w:rFonts w:hint="eastAsia" w:ascii="仿宋" w:hAnsi="仿宋" w:eastAsia="仿宋" w:cs="仿宋"/>
          <w:sz w:val="30"/>
          <w:szCs w:val="30"/>
        </w:rPr>
        <w:t xml:space="preserve"> 联合惩戒</w:t>
      </w:r>
    </w:p>
    <w:p w14:paraId="726E1B4F">
      <w:pPr>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加强行业自律，认真落实“反内卷”有关政策，对未参评</w:t>
      </w:r>
      <w:r>
        <w:rPr>
          <w:rFonts w:hint="eastAsia" w:ascii="仿宋" w:hAnsi="仿宋" w:eastAsia="仿宋" w:cs="仿宋"/>
          <w:sz w:val="30"/>
          <w:szCs w:val="30"/>
        </w:rPr>
        <w:t>企业</w:t>
      </w:r>
      <w:r>
        <w:rPr>
          <w:rFonts w:hint="eastAsia" w:ascii="仿宋" w:hAnsi="仿宋" w:eastAsia="仿宋" w:cs="仿宋"/>
          <w:sz w:val="30"/>
          <w:szCs w:val="30"/>
          <w:lang w:val="en-US" w:eastAsia="zh-CN"/>
        </w:rPr>
        <w:t>建议</w:t>
      </w:r>
      <w:r>
        <w:rPr>
          <w:rFonts w:hint="eastAsia" w:ascii="仿宋" w:hAnsi="仿宋" w:eastAsia="仿宋" w:cs="仿宋"/>
          <w:sz w:val="30"/>
          <w:szCs w:val="30"/>
        </w:rPr>
        <w:t>限制参与财政资金项目投标；</w:t>
      </w:r>
    </w:p>
    <w:p w14:paraId="5BA16407">
      <w:pPr>
        <w:ind w:firstLine="600" w:firstLineChars="200"/>
        <w:rPr>
          <w:rFonts w:hint="eastAsia" w:ascii="仿宋" w:hAnsi="仿宋" w:eastAsia="仿宋" w:cs="仿宋"/>
          <w:sz w:val="30"/>
          <w:szCs w:val="30"/>
        </w:rPr>
      </w:pPr>
      <w:r>
        <w:rPr>
          <w:rFonts w:hint="eastAsia" w:ascii="仿宋" w:hAnsi="仿宋" w:eastAsia="仿宋" w:cs="仿宋"/>
          <w:sz w:val="30"/>
          <w:szCs w:val="30"/>
        </w:rPr>
        <w:t>连续两年</w:t>
      </w:r>
      <w:r>
        <w:rPr>
          <w:rFonts w:hint="eastAsia" w:ascii="仿宋" w:hAnsi="仿宋" w:eastAsia="仿宋" w:cs="仿宋"/>
          <w:sz w:val="30"/>
          <w:szCs w:val="30"/>
          <w:lang w:val="en-US" w:eastAsia="zh-CN"/>
        </w:rPr>
        <w:t>在该领域出现相关质量、信用等问题单位</w:t>
      </w:r>
      <w:r>
        <w:rPr>
          <w:rFonts w:hint="eastAsia" w:ascii="仿宋" w:hAnsi="仿宋" w:eastAsia="仿宋" w:cs="仿宋"/>
          <w:sz w:val="30"/>
          <w:szCs w:val="30"/>
        </w:rPr>
        <w:t>，建议</w:t>
      </w:r>
      <w:r>
        <w:rPr>
          <w:rFonts w:hint="eastAsia" w:ascii="仿宋" w:hAnsi="仿宋" w:eastAsia="仿宋" w:cs="仿宋"/>
          <w:sz w:val="30"/>
          <w:szCs w:val="30"/>
          <w:lang w:val="en-US" w:eastAsia="zh-CN"/>
        </w:rPr>
        <w:t>有关部门限制1-3年从事该领域业务</w:t>
      </w:r>
      <w:r>
        <w:rPr>
          <w:rFonts w:hint="eastAsia" w:ascii="仿宋" w:hAnsi="仿宋" w:eastAsia="仿宋" w:cs="仿宋"/>
          <w:sz w:val="30"/>
          <w:szCs w:val="30"/>
        </w:rPr>
        <w:t>。</w:t>
      </w:r>
    </w:p>
    <w:p w14:paraId="3163E2DA">
      <w:pPr>
        <w:jc w:val="center"/>
        <w:rPr>
          <w:rFonts w:hint="eastAsia" w:ascii="黑体" w:hAnsi="黑体" w:eastAsia="黑体" w:cs="黑体"/>
          <w:sz w:val="30"/>
          <w:szCs w:val="30"/>
        </w:rPr>
      </w:pPr>
      <w:r>
        <w:rPr>
          <w:rFonts w:hint="eastAsia" w:ascii="黑体" w:hAnsi="黑体" w:eastAsia="黑体" w:cs="黑体"/>
          <w:sz w:val="30"/>
          <w:szCs w:val="30"/>
        </w:rPr>
        <w:t>第六章 监督管理</w:t>
      </w:r>
    </w:p>
    <w:p w14:paraId="437CAC50">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第十四条</w:t>
      </w:r>
      <w:r>
        <w:rPr>
          <w:rFonts w:hint="eastAsia" w:ascii="仿宋" w:hAnsi="仿宋" w:eastAsia="仿宋" w:cs="仿宋"/>
          <w:sz w:val="30"/>
          <w:szCs w:val="30"/>
        </w:rPr>
        <w:t xml:space="preserve"> 动态管理</w:t>
      </w:r>
    </w:p>
    <w:p w14:paraId="029059CF">
      <w:pPr>
        <w:ind w:firstLine="600" w:firstLineChars="200"/>
        <w:rPr>
          <w:rFonts w:hint="eastAsia" w:ascii="仿宋" w:hAnsi="仿宋" w:eastAsia="仿宋" w:cs="仿宋"/>
          <w:sz w:val="30"/>
          <w:szCs w:val="30"/>
        </w:rPr>
      </w:pPr>
      <w:r>
        <w:rPr>
          <w:rFonts w:hint="eastAsia" w:ascii="仿宋" w:hAnsi="仿宋" w:eastAsia="仿宋" w:cs="仿宋"/>
          <w:sz w:val="30"/>
          <w:szCs w:val="30"/>
        </w:rPr>
        <w:t>1. 每年更新</w:t>
      </w:r>
      <w:r>
        <w:rPr>
          <w:rFonts w:hint="eastAsia" w:ascii="仿宋" w:hAnsi="仿宋" w:eastAsia="仿宋" w:cs="仿宋"/>
          <w:sz w:val="30"/>
          <w:szCs w:val="30"/>
          <w:lang w:val="en-US" w:eastAsia="zh-CN"/>
        </w:rPr>
        <w:t>评价</w:t>
      </w:r>
      <w:r>
        <w:rPr>
          <w:rFonts w:hint="eastAsia" w:ascii="仿宋" w:hAnsi="仿宋" w:eastAsia="仿宋" w:cs="仿宋"/>
          <w:sz w:val="30"/>
          <w:szCs w:val="30"/>
        </w:rPr>
        <w:t>信息，企业需定期报送经营数据；</w:t>
      </w:r>
    </w:p>
    <w:p w14:paraId="0E8B656A">
      <w:pPr>
        <w:ind w:firstLine="600" w:firstLineChars="200"/>
        <w:rPr>
          <w:rFonts w:hint="eastAsia" w:ascii="仿宋" w:hAnsi="仿宋" w:eastAsia="仿宋" w:cs="仿宋"/>
          <w:sz w:val="30"/>
          <w:szCs w:val="30"/>
        </w:rPr>
      </w:pPr>
      <w:r>
        <w:rPr>
          <w:rFonts w:hint="eastAsia" w:ascii="仿宋" w:hAnsi="仿宋" w:eastAsia="仿宋" w:cs="仿宋"/>
          <w:sz w:val="30"/>
          <w:szCs w:val="30"/>
        </w:rPr>
        <w:t>2. 对弄虚作假、瞒报信息的企业，取消</w:t>
      </w:r>
      <w:r>
        <w:rPr>
          <w:rFonts w:hint="eastAsia" w:ascii="仿宋" w:hAnsi="仿宋" w:eastAsia="仿宋" w:cs="仿宋"/>
          <w:sz w:val="30"/>
          <w:szCs w:val="30"/>
          <w:lang w:val="en-US" w:eastAsia="zh-CN"/>
        </w:rPr>
        <w:t>品牌</w:t>
      </w:r>
      <w:r>
        <w:rPr>
          <w:rFonts w:hint="eastAsia" w:ascii="仿宋" w:hAnsi="仿宋" w:eastAsia="仿宋" w:cs="仿宋"/>
          <w:sz w:val="30"/>
          <w:szCs w:val="30"/>
        </w:rPr>
        <w:t>等级并公示。</w:t>
      </w:r>
    </w:p>
    <w:p w14:paraId="3D2BA2E3">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第十五条</w:t>
      </w:r>
      <w:r>
        <w:rPr>
          <w:rFonts w:hint="eastAsia" w:ascii="仿宋" w:hAnsi="仿宋" w:eastAsia="仿宋" w:cs="仿宋"/>
          <w:sz w:val="30"/>
          <w:szCs w:val="30"/>
        </w:rPr>
        <w:t xml:space="preserve"> 争议处理</w:t>
      </w:r>
    </w:p>
    <w:p w14:paraId="3FFA2B37">
      <w:pPr>
        <w:ind w:firstLine="600" w:firstLineChars="200"/>
        <w:rPr>
          <w:rFonts w:hint="eastAsia" w:ascii="仿宋" w:hAnsi="仿宋" w:eastAsia="仿宋" w:cs="仿宋"/>
          <w:sz w:val="30"/>
          <w:szCs w:val="30"/>
        </w:rPr>
      </w:pPr>
      <w:r>
        <w:rPr>
          <w:rFonts w:hint="eastAsia" w:ascii="仿宋" w:hAnsi="仿宋" w:eastAsia="仿宋" w:cs="仿宋"/>
          <w:sz w:val="30"/>
          <w:szCs w:val="30"/>
        </w:rPr>
        <w:t>企业对评价结果有异议的，可在公示期内提交书面申诉，</w:t>
      </w:r>
      <w:r>
        <w:rPr>
          <w:rFonts w:hint="eastAsia" w:ascii="仿宋" w:hAnsi="仿宋" w:eastAsia="仿宋" w:cs="仿宋"/>
          <w:sz w:val="30"/>
          <w:szCs w:val="30"/>
          <w:lang w:val="en-US" w:eastAsia="zh-CN"/>
        </w:rPr>
        <w:t>协会</w:t>
      </w:r>
      <w:r>
        <w:rPr>
          <w:rFonts w:hint="eastAsia" w:ascii="仿宋" w:hAnsi="仿宋" w:eastAsia="仿宋" w:cs="仿宋"/>
          <w:sz w:val="30"/>
          <w:szCs w:val="30"/>
        </w:rPr>
        <w:t>10个工作日内复核并答复。</w:t>
      </w:r>
    </w:p>
    <w:p w14:paraId="6034AED1">
      <w:pPr>
        <w:jc w:val="center"/>
        <w:rPr>
          <w:rFonts w:hint="eastAsia" w:ascii="黑体" w:hAnsi="黑体" w:eastAsia="黑体" w:cs="黑体"/>
          <w:sz w:val="30"/>
          <w:szCs w:val="30"/>
        </w:rPr>
      </w:pPr>
      <w:r>
        <w:rPr>
          <w:rFonts w:hint="eastAsia" w:ascii="黑体" w:hAnsi="黑体" w:eastAsia="黑体" w:cs="黑体"/>
          <w:sz w:val="30"/>
          <w:szCs w:val="30"/>
        </w:rPr>
        <w:t>第七章 附则</w:t>
      </w:r>
    </w:p>
    <w:p w14:paraId="62643FC7">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第十六条</w:t>
      </w:r>
      <w:r>
        <w:rPr>
          <w:rFonts w:hint="eastAsia" w:ascii="仿宋" w:hAnsi="仿宋" w:eastAsia="仿宋" w:cs="仿宋"/>
          <w:sz w:val="30"/>
          <w:szCs w:val="30"/>
        </w:rPr>
        <w:t xml:space="preserve"> 本办法由山西省建筑装饰协会</w:t>
      </w:r>
      <w:r>
        <w:rPr>
          <w:rFonts w:hint="eastAsia" w:ascii="仿宋" w:hAnsi="仿宋" w:eastAsia="仿宋" w:cs="仿宋"/>
          <w:sz w:val="30"/>
          <w:szCs w:val="30"/>
          <w:lang w:val="en-US" w:eastAsia="zh-CN"/>
        </w:rPr>
        <w:t>信用评价办公室</w:t>
      </w:r>
      <w:r>
        <w:rPr>
          <w:rFonts w:hint="eastAsia" w:ascii="仿宋" w:hAnsi="仿宋" w:eastAsia="仿宋" w:cs="仿宋"/>
          <w:sz w:val="30"/>
          <w:szCs w:val="30"/>
        </w:rPr>
        <w:t>负责解释。</w:t>
      </w:r>
    </w:p>
    <w:p w14:paraId="2EEE9CA2">
      <w:pPr>
        <w:ind w:firstLine="602" w:firstLineChars="200"/>
        <w:rPr>
          <w:rFonts w:hint="eastAsia" w:ascii="仿宋" w:hAnsi="仿宋" w:eastAsia="仿宋" w:cs="仿宋"/>
          <w:sz w:val="30"/>
          <w:szCs w:val="30"/>
          <w:lang w:eastAsia="zh-CN"/>
        </w:rPr>
      </w:pPr>
      <w:r>
        <w:rPr>
          <w:rFonts w:hint="eastAsia" w:ascii="仿宋" w:hAnsi="仿宋" w:eastAsia="仿宋" w:cs="仿宋"/>
          <w:b/>
          <w:bCs/>
          <w:sz w:val="30"/>
          <w:szCs w:val="30"/>
        </w:rPr>
        <w:t>第十七条</w:t>
      </w:r>
      <w:r>
        <w:rPr>
          <w:rFonts w:hint="eastAsia" w:ascii="仿宋" w:hAnsi="仿宋" w:eastAsia="仿宋" w:cs="仿宋"/>
          <w:sz w:val="30"/>
          <w:szCs w:val="30"/>
        </w:rPr>
        <w:t xml:space="preserve"> 本办法自</w:t>
      </w:r>
      <w:r>
        <w:rPr>
          <w:rFonts w:hint="eastAsia" w:ascii="仿宋" w:hAnsi="仿宋" w:eastAsia="仿宋" w:cs="仿宋"/>
          <w:sz w:val="30"/>
          <w:szCs w:val="30"/>
          <w:lang w:val="en-US" w:eastAsia="zh-CN"/>
        </w:rPr>
        <w:t>五届三次理事会通过之日</w:t>
      </w:r>
      <w:r>
        <w:rPr>
          <w:rFonts w:hint="eastAsia" w:ascii="仿宋" w:hAnsi="仿宋" w:eastAsia="仿宋" w:cs="仿宋"/>
          <w:sz w:val="30"/>
          <w:szCs w:val="30"/>
        </w:rPr>
        <w:t>起施行</w:t>
      </w:r>
      <w:r>
        <w:rPr>
          <w:rFonts w:hint="eastAsia" w:ascii="仿宋" w:hAnsi="仿宋" w:eastAsia="仿宋" w:cs="仿宋"/>
          <w:sz w:val="30"/>
          <w:szCs w:val="30"/>
          <w:lang w:eastAsia="zh-CN"/>
        </w:rPr>
        <w:t>。</w:t>
      </w:r>
    </w:p>
    <w:p w14:paraId="505D3FD4">
      <w:pPr>
        <w:ind w:firstLine="600" w:firstLineChars="200"/>
        <w:rPr>
          <w:rFonts w:hint="eastAsia" w:ascii="仿宋" w:hAnsi="仿宋" w:eastAsia="仿宋" w:cs="仿宋"/>
          <w:sz w:val="30"/>
          <w:szCs w:val="30"/>
          <w:lang w:eastAsia="zh-CN"/>
        </w:rPr>
      </w:pPr>
    </w:p>
    <w:p w14:paraId="7AAD4624">
      <w:pPr>
        <w:ind w:firstLine="600" w:firstLineChars="200"/>
        <w:rPr>
          <w:rFonts w:hint="eastAsia" w:ascii="仿宋" w:hAnsi="仿宋" w:eastAsia="仿宋" w:cs="仿宋"/>
          <w:sz w:val="30"/>
          <w:szCs w:val="30"/>
          <w:lang w:eastAsia="zh-CN"/>
        </w:rPr>
      </w:pPr>
    </w:p>
    <w:p w14:paraId="087D753B">
      <w:pPr>
        <w:ind w:firstLine="600" w:firstLineChars="200"/>
        <w:rPr>
          <w:rFonts w:hint="eastAsia" w:ascii="仿宋" w:hAnsi="仿宋" w:eastAsia="仿宋" w:cs="仿宋"/>
          <w:sz w:val="30"/>
          <w:szCs w:val="30"/>
          <w:lang w:eastAsia="zh-CN"/>
        </w:rPr>
      </w:pPr>
    </w:p>
    <w:p w14:paraId="504F4978">
      <w:pPr>
        <w:ind w:firstLine="600" w:firstLineChars="200"/>
        <w:rPr>
          <w:rFonts w:hint="eastAsia" w:ascii="仿宋" w:hAnsi="仿宋" w:eastAsia="仿宋" w:cs="仿宋"/>
          <w:sz w:val="30"/>
          <w:szCs w:val="30"/>
          <w:lang w:eastAsia="zh-CN"/>
        </w:rPr>
      </w:pPr>
    </w:p>
    <w:p w14:paraId="7A80933C">
      <w:pPr>
        <w:ind w:firstLine="600" w:firstLineChars="200"/>
        <w:rPr>
          <w:rFonts w:hint="eastAsia" w:ascii="仿宋" w:hAnsi="仿宋" w:eastAsia="仿宋" w:cs="仿宋"/>
          <w:sz w:val="30"/>
          <w:szCs w:val="30"/>
          <w:lang w:eastAsia="zh-CN"/>
        </w:rPr>
      </w:pPr>
    </w:p>
    <w:p w14:paraId="249A85C6">
      <w:pPr>
        <w:ind w:firstLine="600" w:firstLineChars="200"/>
        <w:rPr>
          <w:rFonts w:hint="eastAsia" w:ascii="仿宋" w:hAnsi="仿宋" w:eastAsia="仿宋" w:cs="仿宋"/>
          <w:sz w:val="30"/>
          <w:szCs w:val="30"/>
          <w:lang w:eastAsia="zh-CN"/>
        </w:rPr>
      </w:pPr>
    </w:p>
    <w:p w14:paraId="1AB606A5">
      <w:pPr>
        <w:ind w:firstLine="600" w:firstLineChars="200"/>
        <w:rPr>
          <w:rFonts w:hint="eastAsia" w:ascii="仿宋" w:hAnsi="仿宋" w:eastAsia="仿宋" w:cs="仿宋"/>
          <w:sz w:val="30"/>
          <w:szCs w:val="30"/>
          <w:lang w:eastAsia="zh-CN"/>
        </w:rPr>
      </w:pPr>
    </w:p>
    <w:p w14:paraId="38010D07">
      <w:pPr>
        <w:ind w:firstLine="600" w:firstLineChars="200"/>
        <w:rPr>
          <w:rFonts w:hint="eastAsia" w:ascii="仿宋" w:hAnsi="仿宋" w:eastAsia="仿宋" w:cs="仿宋"/>
          <w:sz w:val="30"/>
          <w:szCs w:val="30"/>
          <w:lang w:eastAsia="zh-CN"/>
        </w:rPr>
      </w:pPr>
    </w:p>
    <w:p w14:paraId="174BFE81">
      <w:pPr>
        <w:ind w:firstLine="600" w:firstLineChars="200"/>
        <w:rPr>
          <w:rFonts w:hint="eastAsia" w:ascii="仿宋" w:hAnsi="仿宋" w:eastAsia="仿宋" w:cs="仿宋"/>
          <w:sz w:val="30"/>
          <w:szCs w:val="30"/>
          <w:lang w:eastAsia="zh-CN"/>
        </w:rPr>
      </w:pPr>
    </w:p>
    <w:p w14:paraId="6C755BAA">
      <w:pPr>
        <w:ind w:firstLine="600" w:firstLineChars="200"/>
        <w:rPr>
          <w:rFonts w:hint="eastAsia" w:ascii="仿宋" w:hAnsi="仿宋" w:eastAsia="仿宋" w:cs="仿宋"/>
          <w:sz w:val="30"/>
          <w:szCs w:val="30"/>
          <w:lang w:eastAsia="zh-CN"/>
        </w:rPr>
      </w:pPr>
    </w:p>
    <w:p w14:paraId="2ABB2317">
      <w:pPr>
        <w:ind w:firstLine="600" w:firstLineChars="200"/>
        <w:rPr>
          <w:rFonts w:hint="eastAsia" w:ascii="仿宋" w:hAnsi="仿宋" w:eastAsia="仿宋" w:cs="仿宋"/>
          <w:sz w:val="30"/>
          <w:szCs w:val="30"/>
          <w:lang w:eastAsia="zh-CN"/>
        </w:rPr>
      </w:pPr>
    </w:p>
    <w:p w14:paraId="5E19EA48">
      <w:pPr>
        <w:ind w:firstLine="600" w:firstLineChars="200"/>
        <w:rPr>
          <w:rFonts w:hint="eastAsia" w:ascii="仿宋" w:hAnsi="仿宋" w:eastAsia="仿宋" w:cs="仿宋"/>
          <w:sz w:val="30"/>
          <w:szCs w:val="30"/>
          <w:lang w:eastAsia="zh-CN"/>
        </w:rPr>
      </w:pPr>
    </w:p>
    <w:p w14:paraId="15D112A1">
      <w:pPr>
        <w:ind w:firstLine="600" w:firstLineChars="200"/>
        <w:rPr>
          <w:rFonts w:hint="eastAsia" w:ascii="仿宋" w:hAnsi="仿宋" w:eastAsia="仿宋" w:cs="仿宋"/>
          <w:sz w:val="30"/>
          <w:szCs w:val="30"/>
          <w:lang w:eastAsia="zh-CN"/>
        </w:rPr>
      </w:pPr>
    </w:p>
    <w:p w14:paraId="0301BAD5">
      <w:pPr>
        <w:ind w:firstLine="600" w:firstLineChars="200"/>
        <w:rPr>
          <w:rFonts w:hint="eastAsia" w:ascii="仿宋" w:hAnsi="仿宋" w:eastAsia="仿宋" w:cs="仿宋"/>
          <w:sz w:val="30"/>
          <w:szCs w:val="30"/>
          <w:lang w:eastAsia="zh-CN"/>
        </w:rPr>
      </w:pPr>
    </w:p>
    <w:p w14:paraId="32097A07">
      <w:pPr>
        <w:keepNext/>
        <w:keepLines/>
        <w:pageBreakBefore w:val="0"/>
        <w:widowControl w:val="0"/>
        <w:kinsoku/>
        <w:wordWrap/>
        <w:overflowPunct/>
        <w:topLinePunct w:val="0"/>
        <w:autoSpaceDE/>
        <w:autoSpaceDN/>
        <w:bidi w:val="0"/>
        <w:adjustRightInd/>
        <w:snapToGrid/>
        <w:spacing w:before="340" w:after="330" w:line="380" w:lineRule="exact"/>
        <w:ind w:left="0" w:leftChars="0" w:firstLine="0" w:firstLineChars="0"/>
        <w:jc w:val="left"/>
        <w:textAlignment w:val="auto"/>
        <w:outlineLvl w:val="0"/>
        <w:rPr>
          <w:rFonts w:hint="default" w:ascii="宋体" w:hAnsi="宋体" w:cs="宋体" w:eastAsiaTheme="minorEastAsia"/>
          <w:b/>
          <w:bCs/>
          <w:color w:val="000000"/>
          <w:kern w:val="44"/>
          <w:sz w:val="24"/>
          <w:szCs w:val="24"/>
          <w:highlight w:val="none"/>
          <w:lang w:val="en-US" w:eastAsia="zh-CN"/>
        </w:rPr>
      </w:pPr>
      <w:r>
        <w:rPr>
          <w:rFonts w:hint="eastAsia" w:ascii="宋体" w:hAnsi="宋体" w:cs="宋体"/>
          <w:b/>
          <w:bCs/>
          <w:color w:val="000000"/>
          <w:kern w:val="44"/>
          <w:sz w:val="24"/>
          <w:szCs w:val="24"/>
          <w:highlight w:val="none"/>
        </w:rPr>
        <w:t>附</w:t>
      </w:r>
      <w:r>
        <w:rPr>
          <w:rFonts w:hint="eastAsia" w:ascii="宋体" w:hAnsi="宋体" w:cs="宋体"/>
          <w:b/>
          <w:bCs/>
          <w:color w:val="000000"/>
          <w:kern w:val="44"/>
          <w:sz w:val="24"/>
          <w:szCs w:val="24"/>
          <w:highlight w:val="none"/>
          <w:lang w:val="en-US" w:eastAsia="zh-CN"/>
        </w:rPr>
        <w:t>件：</w:t>
      </w:r>
    </w:p>
    <w:p w14:paraId="1D7006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color w:val="000000"/>
          <w:spacing w:val="-17"/>
          <w:sz w:val="30"/>
          <w:szCs w:val="30"/>
          <w:highlight w:val="none"/>
          <w:lang w:val="en-US" w:eastAsia="zh-CN"/>
        </w:rPr>
      </w:pPr>
      <w:r>
        <w:rPr>
          <w:rFonts w:hint="eastAsia" w:ascii="宋体" w:hAnsi="宋体" w:cs="宋体"/>
          <w:b/>
          <w:bCs/>
          <w:color w:val="000000"/>
          <w:spacing w:val="-17"/>
          <w:sz w:val="30"/>
          <w:szCs w:val="30"/>
          <w:highlight w:val="none"/>
          <w:lang w:val="en-US" w:eastAsia="zh-CN"/>
        </w:rPr>
        <w:t>山西省建筑装饰行业细分领域品牌评价表</w:t>
      </w:r>
    </w:p>
    <w:p w14:paraId="1C9C6E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cs="宋体"/>
          <w:b/>
          <w:bCs/>
          <w:color w:val="000000"/>
          <w:spacing w:val="-17"/>
          <w:sz w:val="10"/>
          <w:szCs w:val="10"/>
          <w:highlight w:val="none"/>
          <w:lang w:val="en-US" w:eastAsia="zh-CN"/>
        </w:rPr>
      </w:pPr>
    </w:p>
    <w:tbl>
      <w:tblPr>
        <w:tblStyle w:val="2"/>
        <w:tblW w:w="9878" w:type="dxa"/>
        <w:tblInd w:w="-777" w:type="dxa"/>
        <w:tblLayout w:type="fixed"/>
        <w:tblCellMar>
          <w:top w:w="0" w:type="dxa"/>
          <w:left w:w="108" w:type="dxa"/>
          <w:bottom w:w="0" w:type="dxa"/>
          <w:right w:w="108" w:type="dxa"/>
        </w:tblCellMar>
      </w:tblPr>
      <w:tblGrid>
        <w:gridCol w:w="1017"/>
        <w:gridCol w:w="844"/>
        <w:gridCol w:w="1263"/>
        <w:gridCol w:w="846"/>
        <w:gridCol w:w="2813"/>
        <w:gridCol w:w="1969"/>
        <w:gridCol w:w="1126"/>
      </w:tblGrid>
      <w:tr w14:paraId="0BF8B84E">
        <w:tblPrEx>
          <w:tblCellMar>
            <w:top w:w="0" w:type="dxa"/>
            <w:left w:w="108" w:type="dxa"/>
            <w:bottom w:w="0" w:type="dxa"/>
            <w:right w:w="108" w:type="dxa"/>
          </w:tblCellMar>
        </w:tblPrEx>
        <w:trPr>
          <w:trHeight w:val="343" w:hRule="atLeast"/>
        </w:trPr>
        <w:tc>
          <w:tcPr>
            <w:tcW w:w="1861" w:type="dxa"/>
            <w:gridSpan w:val="2"/>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366696DC">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一级指标</w:t>
            </w:r>
          </w:p>
        </w:tc>
        <w:tc>
          <w:tcPr>
            <w:tcW w:w="2109" w:type="dxa"/>
            <w:gridSpan w:val="2"/>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5D2D6EF4">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二级指标</w:t>
            </w:r>
          </w:p>
        </w:tc>
        <w:tc>
          <w:tcPr>
            <w:tcW w:w="2813" w:type="dxa"/>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17DDEF68">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指标说明</w:t>
            </w:r>
          </w:p>
        </w:tc>
        <w:tc>
          <w:tcPr>
            <w:tcW w:w="3095" w:type="dxa"/>
            <w:gridSpan w:val="2"/>
            <w:vMerge w:val="restart"/>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3F34213A">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评价方法及计分标准</w:t>
            </w:r>
          </w:p>
        </w:tc>
      </w:tr>
      <w:tr w14:paraId="1A3B554B">
        <w:tblPrEx>
          <w:tblCellMar>
            <w:top w:w="0" w:type="dxa"/>
            <w:left w:w="108" w:type="dxa"/>
            <w:bottom w:w="0" w:type="dxa"/>
            <w:right w:w="108" w:type="dxa"/>
          </w:tblCellMar>
        </w:tblPrEx>
        <w:trPr>
          <w:trHeight w:val="343" w:hRule="atLeast"/>
        </w:trPr>
        <w:tc>
          <w:tcPr>
            <w:tcW w:w="1017" w:type="dxa"/>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5934CF42">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指标名称</w:t>
            </w:r>
          </w:p>
        </w:tc>
        <w:tc>
          <w:tcPr>
            <w:tcW w:w="844" w:type="dxa"/>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3FD7E447">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权重</w:t>
            </w:r>
          </w:p>
        </w:tc>
        <w:tc>
          <w:tcPr>
            <w:tcW w:w="1263" w:type="dxa"/>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46262305">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指标名称</w:t>
            </w:r>
          </w:p>
        </w:tc>
        <w:tc>
          <w:tcPr>
            <w:tcW w:w="846" w:type="dxa"/>
            <w:tcBorders>
              <w:top w:val="single" w:color="auto" w:sz="4" w:space="0"/>
              <w:left w:val="single" w:color="auto" w:sz="4" w:space="0"/>
              <w:bottom w:val="single" w:color="auto" w:sz="4" w:space="0"/>
              <w:right w:val="single" w:color="auto" w:sz="4" w:space="0"/>
            </w:tcBorders>
            <w:shd w:val="clear" w:color="000000" w:fill="EEECE1"/>
            <w:noWrap w:val="0"/>
            <w:vAlign w:val="center"/>
          </w:tcPr>
          <w:p w14:paraId="6EE3668B">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权重</w:t>
            </w: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6023F36B">
            <w:pPr>
              <w:widowControl/>
              <w:jc w:val="center"/>
              <w:rPr>
                <w:rFonts w:ascii="宋体" w:hAnsi="宋体" w:cs="宋体"/>
                <w:b/>
                <w:bCs/>
                <w:color w:val="000000"/>
                <w:kern w:val="0"/>
                <w:sz w:val="18"/>
                <w:szCs w:val="18"/>
                <w:highlight w:val="none"/>
              </w:rPr>
            </w:pPr>
          </w:p>
        </w:tc>
        <w:tc>
          <w:tcPr>
            <w:tcW w:w="309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596F4F9">
            <w:pPr>
              <w:widowControl/>
              <w:jc w:val="center"/>
              <w:rPr>
                <w:rFonts w:ascii="宋体" w:hAnsi="宋体" w:cs="宋体"/>
                <w:b/>
                <w:bCs/>
                <w:color w:val="000000"/>
                <w:kern w:val="0"/>
                <w:sz w:val="18"/>
                <w:szCs w:val="18"/>
                <w:highlight w:val="none"/>
              </w:rPr>
            </w:pPr>
          </w:p>
        </w:tc>
      </w:tr>
      <w:tr w14:paraId="53BBCA4E">
        <w:tblPrEx>
          <w:tblCellMar>
            <w:top w:w="0" w:type="dxa"/>
            <w:left w:w="108" w:type="dxa"/>
            <w:bottom w:w="0" w:type="dxa"/>
            <w:right w:w="108" w:type="dxa"/>
          </w:tblCellMar>
        </w:tblPrEx>
        <w:trPr>
          <w:trHeight w:val="343" w:hRule="atLeast"/>
        </w:trPr>
        <w:tc>
          <w:tcPr>
            <w:tcW w:w="1017"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4DBB8382">
            <w:pPr>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rPr>
              <w:t>企业</w:t>
            </w:r>
            <w:r>
              <w:rPr>
                <w:rFonts w:hint="eastAsia" w:ascii="宋体" w:hAnsi="宋体" w:cs="宋体"/>
                <w:color w:val="000000"/>
                <w:kern w:val="0"/>
                <w:sz w:val="18"/>
                <w:szCs w:val="18"/>
                <w:highlight w:val="none"/>
                <w:lang w:val="en-US" w:eastAsia="zh-CN"/>
              </w:rPr>
              <w:t>基础信用信息</w:t>
            </w:r>
          </w:p>
        </w:tc>
        <w:tc>
          <w:tcPr>
            <w:tcW w:w="844"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0761C7DE">
            <w:pPr>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35</w:t>
            </w:r>
            <w:r>
              <w:rPr>
                <w:rFonts w:hint="eastAsia" w:ascii="宋体" w:hAnsi="宋体" w:cs="宋体"/>
                <w:color w:val="000000"/>
                <w:kern w:val="0"/>
                <w:sz w:val="18"/>
                <w:szCs w:val="18"/>
                <w:highlight w:val="none"/>
              </w:rPr>
              <w:t>%</w:t>
            </w:r>
          </w:p>
        </w:tc>
        <w:tc>
          <w:tcPr>
            <w:tcW w:w="1263"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5FB02E83">
            <w:pPr>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企业资质</w:t>
            </w:r>
          </w:p>
        </w:tc>
        <w:tc>
          <w:tcPr>
            <w:tcW w:w="846"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483EC11F">
            <w:pPr>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20%</w:t>
            </w:r>
          </w:p>
        </w:tc>
        <w:tc>
          <w:tcPr>
            <w:tcW w:w="2813"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1DAEBEF6">
            <w:pPr>
              <w:jc w:val="left"/>
              <w:rPr>
                <w:rFonts w:hint="default" w:ascii="宋体" w:hAnsi="宋体" w:cs="宋体"/>
                <w:color w:val="000000"/>
                <w:kern w:val="0"/>
                <w:sz w:val="18"/>
                <w:szCs w:val="18"/>
                <w:highlight w:val="none"/>
                <w:lang w:val="en-US"/>
              </w:rPr>
            </w:pPr>
            <w:r>
              <w:rPr>
                <w:rFonts w:hint="eastAsia" w:ascii="宋体" w:hAnsi="宋体" w:cs="宋体"/>
                <w:color w:val="000000"/>
                <w:kern w:val="0"/>
                <w:sz w:val="18"/>
                <w:szCs w:val="18"/>
                <w:highlight w:val="none"/>
                <w:lang w:val="en-US" w:eastAsia="zh-CN"/>
              </w:rPr>
              <w:t>企业资质等级可直观反映企业的‌综合实力、业务范围、管理水平和市场竞争力，一般情况下资质等级越高企业的实力与信誉越好。</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B439928">
            <w:pPr>
              <w:widowControl/>
              <w:jc w:val="center"/>
              <w:rPr>
                <w:rFonts w:hint="default" w:ascii="宋体" w:hAnsi="宋体" w:cs="宋体" w:eastAsiaTheme="minorEastAsia"/>
                <w:b/>
                <w:bCs/>
                <w:color w:val="000000"/>
                <w:kern w:val="0"/>
                <w:sz w:val="18"/>
                <w:szCs w:val="18"/>
                <w:highlight w:val="none"/>
                <w:lang w:val="en-US" w:eastAsia="zh-CN"/>
              </w:rPr>
            </w:pPr>
            <w:r>
              <w:rPr>
                <w:rFonts w:hint="eastAsia" w:ascii="宋体" w:hAnsi="宋体" w:cs="宋体"/>
                <w:b/>
                <w:bCs/>
                <w:color w:val="000000"/>
                <w:kern w:val="0"/>
                <w:sz w:val="18"/>
                <w:szCs w:val="18"/>
                <w:highlight w:val="none"/>
                <w:lang w:val="en-US" w:eastAsia="zh-CN"/>
              </w:rPr>
              <w:t>资质等级</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650CB1C7">
            <w:pPr>
              <w:widowControl/>
              <w:jc w:val="center"/>
              <w:rPr>
                <w:rFonts w:hint="eastAsia" w:ascii="宋体" w:hAnsi="宋体" w:cs="宋体" w:eastAsiaTheme="minorEastAsia"/>
                <w:b/>
                <w:bCs/>
                <w:color w:val="000000"/>
                <w:kern w:val="0"/>
                <w:sz w:val="18"/>
                <w:szCs w:val="18"/>
                <w:highlight w:val="none"/>
                <w:lang w:val="en-US" w:eastAsia="zh-CN"/>
              </w:rPr>
            </w:pPr>
            <w:r>
              <w:rPr>
                <w:rFonts w:hint="eastAsia" w:ascii="宋体" w:hAnsi="宋体" w:cs="宋体"/>
                <w:b/>
                <w:bCs/>
                <w:color w:val="000000"/>
                <w:kern w:val="0"/>
                <w:sz w:val="18"/>
                <w:szCs w:val="18"/>
                <w:highlight w:val="none"/>
                <w:lang w:val="en-US" w:eastAsia="zh-CN"/>
              </w:rPr>
              <w:t>得分</w:t>
            </w:r>
          </w:p>
        </w:tc>
      </w:tr>
      <w:tr w14:paraId="7591BC89">
        <w:tblPrEx>
          <w:tblCellMar>
            <w:top w:w="0" w:type="dxa"/>
            <w:left w:w="108" w:type="dxa"/>
            <w:bottom w:w="0" w:type="dxa"/>
            <w:right w:w="108" w:type="dxa"/>
          </w:tblCellMar>
        </w:tblPrEx>
        <w:trPr>
          <w:trHeight w:val="343" w:hRule="atLeast"/>
        </w:trPr>
        <w:tc>
          <w:tcPr>
            <w:tcW w:w="1017"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0423C011">
            <w:pPr>
              <w:jc w:val="center"/>
              <w:rPr>
                <w:rFonts w:hint="eastAsia"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68C06998">
            <w:pPr>
              <w:jc w:val="center"/>
              <w:rPr>
                <w:rFonts w:hint="eastAsia" w:ascii="宋体" w:hAnsi="宋体" w:cs="宋体"/>
                <w:color w:val="000000"/>
                <w:kern w:val="0"/>
                <w:sz w:val="18"/>
                <w:szCs w:val="18"/>
                <w:highlight w:val="none"/>
                <w:lang w:val="en-US" w:eastAsia="zh-CN"/>
              </w:rPr>
            </w:pPr>
          </w:p>
        </w:tc>
        <w:tc>
          <w:tcPr>
            <w:tcW w:w="126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763365E4">
            <w:pPr>
              <w:jc w:val="center"/>
              <w:rPr>
                <w:rFonts w:hint="eastAsia" w:ascii="宋体" w:hAnsi="宋体" w:cs="宋体"/>
                <w:color w:val="000000"/>
                <w:kern w:val="0"/>
                <w:sz w:val="18"/>
                <w:szCs w:val="18"/>
                <w:highlight w:val="none"/>
                <w:lang w:val="en-US" w:eastAsia="zh-CN"/>
              </w:rPr>
            </w:pPr>
          </w:p>
        </w:tc>
        <w:tc>
          <w:tcPr>
            <w:tcW w:w="846"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3D0908F1">
            <w:pPr>
              <w:jc w:val="center"/>
              <w:rPr>
                <w:rFonts w:hint="eastAsia" w:ascii="宋体" w:hAnsi="宋体" w:cs="宋体"/>
                <w:color w:val="000000"/>
                <w:kern w:val="0"/>
                <w:sz w:val="18"/>
                <w:szCs w:val="18"/>
                <w:highlight w:val="none"/>
                <w:lang w:eastAsia="zh-CN"/>
              </w:rPr>
            </w:pPr>
          </w:p>
        </w:tc>
        <w:tc>
          <w:tcPr>
            <w:tcW w:w="281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2E1D1198">
            <w:pPr>
              <w:jc w:val="left"/>
              <w:rPr>
                <w:rFonts w:hint="eastAsia"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B0C2209">
            <w:pPr>
              <w:widowControl/>
              <w:jc w:val="center"/>
              <w:rPr>
                <w:rFonts w:hint="default" w:ascii="宋体" w:hAnsi="宋体" w:cs="宋体" w:eastAsiaTheme="minorEastAsia"/>
                <w:b w:val="0"/>
                <w:bCs w:val="0"/>
                <w:color w:val="000000"/>
                <w:kern w:val="0"/>
                <w:sz w:val="18"/>
                <w:szCs w:val="18"/>
                <w:highlight w:val="none"/>
                <w:lang w:val="en-US" w:eastAsia="zh-CN"/>
              </w:rPr>
            </w:pPr>
            <w:r>
              <w:rPr>
                <w:rFonts w:hint="eastAsia" w:ascii="宋体" w:hAnsi="宋体" w:cs="宋体"/>
                <w:b w:val="0"/>
                <w:bCs w:val="0"/>
                <w:color w:val="000000"/>
                <w:kern w:val="0"/>
                <w:sz w:val="18"/>
                <w:szCs w:val="18"/>
                <w:highlight w:val="none"/>
                <w:lang w:val="en-US" w:eastAsia="zh-CN"/>
              </w:rPr>
              <w:t>专业承包一级</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7B3BA59">
            <w:pPr>
              <w:widowControl/>
              <w:jc w:val="center"/>
              <w:rPr>
                <w:rFonts w:hint="default" w:ascii="宋体" w:hAnsi="宋体" w:cs="宋体"/>
                <w:b w:val="0"/>
                <w:bCs w:val="0"/>
                <w:color w:val="000000"/>
                <w:kern w:val="0"/>
                <w:sz w:val="18"/>
                <w:szCs w:val="18"/>
                <w:highlight w:val="none"/>
                <w:lang w:val="en-US" w:eastAsia="zh-CN"/>
              </w:rPr>
            </w:pPr>
            <w:r>
              <w:rPr>
                <w:rFonts w:hint="eastAsia" w:ascii="宋体" w:hAnsi="宋体" w:cs="宋体"/>
                <w:b w:val="0"/>
                <w:bCs w:val="0"/>
                <w:color w:val="000000"/>
                <w:kern w:val="0"/>
                <w:sz w:val="18"/>
                <w:szCs w:val="18"/>
                <w:highlight w:val="none"/>
                <w:lang w:val="en-US" w:eastAsia="zh-CN"/>
              </w:rPr>
              <w:t>100</w:t>
            </w:r>
          </w:p>
        </w:tc>
      </w:tr>
      <w:tr w14:paraId="14B62A42">
        <w:tblPrEx>
          <w:tblCellMar>
            <w:top w:w="0" w:type="dxa"/>
            <w:left w:w="108" w:type="dxa"/>
            <w:bottom w:w="0" w:type="dxa"/>
            <w:right w:w="108" w:type="dxa"/>
          </w:tblCellMar>
        </w:tblPrEx>
        <w:trPr>
          <w:trHeight w:val="343" w:hRule="atLeast"/>
        </w:trPr>
        <w:tc>
          <w:tcPr>
            <w:tcW w:w="1017"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34753DE2">
            <w:pPr>
              <w:jc w:val="center"/>
              <w:rPr>
                <w:rFonts w:hint="eastAsia"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596BF4E2">
            <w:pPr>
              <w:jc w:val="center"/>
              <w:rPr>
                <w:rFonts w:hint="eastAsia"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44BC6AC2">
            <w:pPr>
              <w:jc w:val="center"/>
              <w:rPr>
                <w:rFonts w:hint="eastAsia"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0D03B6A6">
            <w:pPr>
              <w:jc w:val="center"/>
              <w:rPr>
                <w:rFonts w:hint="eastAsia"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6F666CB1">
            <w:pPr>
              <w:jc w:val="left"/>
              <w:rPr>
                <w:rFonts w:hint="eastAsia"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241A811D">
            <w:pPr>
              <w:widowControl/>
              <w:jc w:val="center"/>
              <w:rPr>
                <w:rFonts w:hint="default" w:ascii="宋体" w:hAnsi="宋体" w:cs="宋体" w:eastAsiaTheme="minorEastAsia"/>
                <w:b w:val="0"/>
                <w:bCs w:val="0"/>
                <w:color w:val="000000"/>
                <w:kern w:val="0"/>
                <w:sz w:val="18"/>
                <w:szCs w:val="18"/>
                <w:highlight w:val="none"/>
                <w:lang w:val="en-US" w:eastAsia="zh-CN"/>
              </w:rPr>
            </w:pPr>
            <w:r>
              <w:rPr>
                <w:rFonts w:hint="eastAsia" w:ascii="宋体" w:hAnsi="宋体" w:cs="宋体"/>
                <w:b w:val="0"/>
                <w:bCs w:val="0"/>
                <w:color w:val="000000"/>
                <w:kern w:val="0"/>
                <w:sz w:val="18"/>
                <w:szCs w:val="18"/>
                <w:highlight w:val="none"/>
                <w:lang w:val="en-US" w:eastAsia="zh-CN"/>
              </w:rPr>
              <w:t>专业承包二级</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F83FAEE">
            <w:pPr>
              <w:widowControl/>
              <w:jc w:val="center"/>
              <w:rPr>
                <w:rFonts w:hint="default" w:ascii="宋体" w:hAnsi="宋体" w:cs="宋体"/>
                <w:b w:val="0"/>
                <w:bCs w:val="0"/>
                <w:color w:val="000000"/>
                <w:kern w:val="0"/>
                <w:sz w:val="18"/>
                <w:szCs w:val="18"/>
                <w:highlight w:val="none"/>
                <w:lang w:val="en-US" w:eastAsia="zh-CN"/>
              </w:rPr>
            </w:pPr>
            <w:r>
              <w:rPr>
                <w:rFonts w:hint="eastAsia" w:ascii="宋体" w:hAnsi="宋体" w:cs="宋体"/>
                <w:b w:val="0"/>
                <w:bCs w:val="0"/>
                <w:color w:val="000000"/>
                <w:kern w:val="0"/>
                <w:sz w:val="18"/>
                <w:szCs w:val="18"/>
                <w:highlight w:val="none"/>
                <w:lang w:val="en-US" w:eastAsia="zh-CN"/>
              </w:rPr>
              <w:t>90</w:t>
            </w:r>
          </w:p>
        </w:tc>
      </w:tr>
      <w:tr w14:paraId="6F52DF53">
        <w:tblPrEx>
          <w:tblCellMar>
            <w:top w:w="0" w:type="dxa"/>
            <w:left w:w="108" w:type="dxa"/>
            <w:bottom w:w="0" w:type="dxa"/>
            <w:right w:w="108" w:type="dxa"/>
          </w:tblCellMar>
        </w:tblPrEx>
        <w:trPr>
          <w:trHeight w:val="526" w:hRule="atLeast"/>
        </w:trPr>
        <w:tc>
          <w:tcPr>
            <w:tcW w:w="1017"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0ED3B2B3">
            <w:pPr>
              <w:jc w:val="center"/>
              <w:rPr>
                <w:rFonts w:hint="eastAsia"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482876E3">
            <w:pPr>
              <w:jc w:val="center"/>
              <w:rPr>
                <w:rFonts w:hint="eastAsia"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0BF553BA">
            <w:pPr>
              <w:jc w:val="center"/>
              <w:rPr>
                <w:rFonts w:hint="eastAsia"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69535ABC">
            <w:pPr>
              <w:jc w:val="center"/>
              <w:rPr>
                <w:rFonts w:hint="default" w:ascii="宋体" w:hAnsi="宋体" w:cs="宋体"/>
                <w:color w:val="000000"/>
                <w:kern w:val="0"/>
                <w:sz w:val="18"/>
                <w:szCs w:val="18"/>
                <w:highlight w:val="none"/>
                <w:lang w:val="en-US"/>
              </w:rPr>
            </w:pPr>
          </w:p>
        </w:tc>
        <w:tc>
          <w:tcPr>
            <w:tcW w:w="281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14:paraId="77802E2C">
            <w:pPr>
              <w:jc w:val="left"/>
              <w:rPr>
                <w:rFonts w:hint="eastAsia"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38786FF">
            <w:pPr>
              <w:widowControl/>
              <w:jc w:val="center"/>
              <w:rPr>
                <w:rFonts w:ascii="宋体" w:hAnsi="宋体" w:cs="宋体"/>
                <w:b w:val="0"/>
                <w:bCs w:val="0"/>
                <w:color w:val="000000"/>
                <w:kern w:val="0"/>
                <w:sz w:val="18"/>
                <w:szCs w:val="18"/>
                <w:highlight w:val="none"/>
              </w:rPr>
            </w:pPr>
            <w:r>
              <w:rPr>
                <w:rFonts w:hint="eastAsia" w:ascii="宋体" w:hAnsi="宋体" w:cs="宋体"/>
                <w:b w:val="0"/>
                <w:bCs w:val="0"/>
                <w:color w:val="000000"/>
                <w:kern w:val="0"/>
                <w:sz w:val="18"/>
                <w:szCs w:val="18"/>
                <w:highlight w:val="none"/>
                <w:lang w:val="en-US" w:eastAsia="zh-CN"/>
              </w:rPr>
              <w:t>专业承包三级</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73B12C98">
            <w:pPr>
              <w:widowControl/>
              <w:jc w:val="center"/>
              <w:rPr>
                <w:rFonts w:hint="default" w:ascii="宋体" w:hAnsi="宋体" w:cs="宋体"/>
                <w:b w:val="0"/>
                <w:bCs w:val="0"/>
                <w:color w:val="000000"/>
                <w:kern w:val="0"/>
                <w:sz w:val="18"/>
                <w:szCs w:val="18"/>
                <w:highlight w:val="none"/>
                <w:lang w:val="en-US" w:eastAsia="zh-CN"/>
              </w:rPr>
            </w:pPr>
            <w:r>
              <w:rPr>
                <w:rFonts w:hint="eastAsia" w:ascii="宋体" w:hAnsi="宋体" w:cs="宋体"/>
                <w:b w:val="0"/>
                <w:bCs w:val="0"/>
                <w:color w:val="000000"/>
                <w:kern w:val="0"/>
                <w:sz w:val="18"/>
                <w:szCs w:val="18"/>
                <w:highlight w:val="none"/>
                <w:lang w:val="en-US" w:eastAsia="zh-CN"/>
              </w:rPr>
              <w:t>80</w:t>
            </w:r>
          </w:p>
        </w:tc>
      </w:tr>
      <w:tr w14:paraId="73944876">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75E3FC60">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3DCB49DB">
            <w:pPr>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bottom w:val="single" w:color="auto" w:sz="4" w:space="0"/>
              <w:right w:val="single" w:color="auto" w:sz="4" w:space="0"/>
            </w:tcBorders>
            <w:noWrap w:val="0"/>
            <w:vAlign w:val="center"/>
          </w:tcPr>
          <w:p w14:paraId="517C8CEF">
            <w:pPr>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经营年限</w:t>
            </w:r>
          </w:p>
        </w:tc>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16804F43">
            <w:pPr>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10</w:t>
            </w:r>
            <w:r>
              <w:rPr>
                <w:rFonts w:hint="eastAsia" w:ascii="宋体" w:hAnsi="宋体" w:cs="宋体"/>
                <w:color w:val="000000"/>
                <w:kern w:val="0"/>
                <w:sz w:val="18"/>
                <w:szCs w:val="18"/>
                <w:highlight w:val="none"/>
              </w:rPr>
              <w:t>%</w:t>
            </w:r>
          </w:p>
        </w:tc>
        <w:tc>
          <w:tcPr>
            <w:tcW w:w="2813" w:type="dxa"/>
            <w:vMerge w:val="restart"/>
            <w:tcBorders>
              <w:top w:val="single" w:color="auto" w:sz="4" w:space="0"/>
              <w:left w:val="single" w:color="auto" w:sz="4" w:space="0"/>
              <w:bottom w:val="single" w:color="auto" w:sz="4" w:space="0"/>
              <w:right w:val="single" w:color="auto" w:sz="4" w:space="0"/>
            </w:tcBorders>
            <w:noWrap w:val="0"/>
            <w:vAlign w:val="center"/>
          </w:tcPr>
          <w:p w14:paraId="57260525">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存续时间可以直观反映企业的行业经验，一般情况下经营年限越长企业经营越稳定。</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7824485">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rPr>
              <w:t>经营年限（年）</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8AD933F">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rPr>
              <w:t>得分</w:t>
            </w:r>
          </w:p>
        </w:tc>
      </w:tr>
      <w:tr w14:paraId="02C69817">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3990F08C">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4F3EFF37">
            <w:pPr>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3010C6B5">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AB33C09">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3065817A">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67D76F5">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w:t>
            </w:r>
            <w:r>
              <w:rPr>
                <w:rFonts w:ascii="宋体" w:hAnsi="宋体" w:cs="Arial Unicode MS"/>
                <w:color w:val="000000"/>
                <w:kern w:val="0"/>
                <w:sz w:val="18"/>
                <w:szCs w:val="18"/>
                <w:highlight w:val="none"/>
              </w:rPr>
              <w:t>20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640D1A54">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100</w:t>
            </w:r>
          </w:p>
        </w:tc>
      </w:tr>
      <w:tr w14:paraId="2DAFE279">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1F70522F">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1FD45150">
            <w:pPr>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08C60A15">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DE281B6">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42C361D4">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61A44F7">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[15</w:t>
            </w:r>
            <w:r>
              <w:rPr>
                <w:rFonts w:hint="eastAsia" w:ascii="宋体" w:hAnsi="宋体" w:cs="Arial Unicode MS"/>
                <w:color w:val="000000"/>
                <w:kern w:val="0"/>
                <w:sz w:val="18"/>
                <w:szCs w:val="18"/>
                <w:highlight w:val="none"/>
                <w:lang w:val="en-US" w:eastAsia="zh-CN"/>
              </w:rPr>
              <w:t>-</w:t>
            </w:r>
            <w:r>
              <w:rPr>
                <w:rFonts w:ascii="宋体" w:hAnsi="宋体" w:cs="Arial Unicode MS"/>
                <w:color w:val="000000"/>
                <w:kern w:val="0"/>
                <w:sz w:val="18"/>
                <w:szCs w:val="18"/>
                <w:highlight w:val="none"/>
              </w:rPr>
              <w:t>20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5EA86D0E">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8</w:t>
            </w:r>
            <w:r>
              <w:rPr>
                <w:rFonts w:ascii="宋体" w:hAnsi="宋体" w:cs="Arial Unicode MS"/>
                <w:color w:val="000000"/>
                <w:kern w:val="0"/>
                <w:sz w:val="18"/>
                <w:szCs w:val="18"/>
                <w:highlight w:val="none"/>
              </w:rPr>
              <w:t>0</w:t>
            </w:r>
          </w:p>
        </w:tc>
      </w:tr>
      <w:tr w14:paraId="2CF21C12">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1253AB55">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55A877CF">
            <w:pPr>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786175A1">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A3887F0">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79B6DA14">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654E395B">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[10</w:t>
            </w:r>
            <w:r>
              <w:rPr>
                <w:rFonts w:hint="eastAsia" w:ascii="宋体" w:hAnsi="宋体" w:cs="Arial Unicode MS"/>
                <w:color w:val="000000"/>
                <w:kern w:val="0"/>
                <w:sz w:val="18"/>
                <w:szCs w:val="18"/>
                <w:highlight w:val="none"/>
                <w:lang w:val="en-US" w:eastAsia="zh-CN"/>
              </w:rPr>
              <w:t>-</w:t>
            </w:r>
            <w:r>
              <w:rPr>
                <w:rFonts w:ascii="宋体" w:hAnsi="宋体" w:cs="Arial Unicode MS"/>
                <w:color w:val="000000"/>
                <w:kern w:val="0"/>
                <w:sz w:val="18"/>
                <w:szCs w:val="18"/>
                <w:highlight w:val="none"/>
              </w:rPr>
              <w:t>15</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A4006E0">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60</w:t>
            </w:r>
          </w:p>
        </w:tc>
      </w:tr>
      <w:tr w14:paraId="1246CAB1">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3758B8AB">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5358F2E4">
            <w:pPr>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4D08D835">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6813093">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4029F1A0">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42650F8">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[5</w:t>
            </w:r>
            <w:r>
              <w:rPr>
                <w:rFonts w:hint="eastAsia" w:ascii="宋体" w:hAnsi="宋体" w:cs="Arial Unicode MS"/>
                <w:color w:val="000000"/>
                <w:kern w:val="0"/>
                <w:sz w:val="18"/>
                <w:szCs w:val="18"/>
                <w:highlight w:val="none"/>
                <w:lang w:val="en-US" w:eastAsia="zh-CN"/>
              </w:rPr>
              <w:t>-</w:t>
            </w:r>
            <w:r>
              <w:rPr>
                <w:rFonts w:ascii="宋体" w:hAnsi="宋体" w:cs="Arial Unicode MS"/>
                <w:color w:val="000000"/>
                <w:kern w:val="0"/>
                <w:sz w:val="18"/>
                <w:szCs w:val="18"/>
                <w:highlight w:val="none"/>
              </w:rPr>
              <w:t>10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29D98C9A">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4</w:t>
            </w:r>
            <w:r>
              <w:rPr>
                <w:rFonts w:hint="eastAsia" w:ascii="宋体" w:hAnsi="宋体" w:cs="Arial Unicode MS"/>
                <w:color w:val="000000"/>
                <w:kern w:val="0"/>
                <w:sz w:val="18"/>
                <w:szCs w:val="18"/>
                <w:highlight w:val="none"/>
              </w:rPr>
              <w:t>0</w:t>
            </w:r>
          </w:p>
        </w:tc>
      </w:tr>
      <w:tr w14:paraId="54D984A1">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58FE51CA">
            <w:pPr>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7689F95C">
            <w:pPr>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7113017B">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DA53078">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02B6F693">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7DBBFC3">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lang w:eastAsia="zh-CN"/>
              </w:rPr>
              <w:t>＜</w:t>
            </w:r>
            <w:r>
              <w:rPr>
                <w:rFonts w:ascii="宋体" w:hAnsi="宋体" w:cs="Arial Unicode MS"/>
                <w:color w:val="000000"/>
                <w:kern w:val="0"/>
                <w:sz w:val="18"/>
                <w:szCs w:val="18"/>
                <w:highlight w:val="none"/>
              </w:rPr>
              <w:t>5</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1AA65EC7">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20</w:t>
            </w:r>
          </w:p>
        </w:tc>
      </w:tr>
      <w:tr w14:paraId="3CAC49EA">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6262152D">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54628E0F">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bottom w:val="single" w:color="auto" w:sz="4" w:space="0"/>
              <w:right w:val="single" w:color="auto" w:sz="4" w:space="0"/>
            </w:tcBorders>
            <w:noWrap w:val="0"/>
            <w:vAlign w:val="center"/>
          </w:tcPr>
          <w:p w14:paraId="2DAD7A8B">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社保缴纳</w:t>
            </w:r>
          </w:p>
        </w:tc>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5551AE22">
            <w:pPr>
              <w:widowControl/>
              <w:jc w:val="center"/>
              <w:rPr>
                <w:rFonts w:ascii="宋体" w:hAnsi="宋体" w:cs="宋体"/>
                <w:color w:val="000000"/>
                <w:kern w:val="0"/>
                <w:sz w:val="18"/>
                <w:szCs w:val="18"/>
                <w:highlight w:val="none"/>
              </w:rPr>
            </w:pPr>
            <w:r>
              <w:rPr>
                <w:rFonts w:ascii="宋体" w:hAnsi="宋体" w:cs="宋体"/>
                <w:color w:val="000000"/>
                <w:kern w:val="0"/>
                <w:sz w:val="18"/>
                <w:szCs w:val="18"/>
                <w:highlight w:val="none"/>
              </w:rPr>
              <w:t>20</w:t>
            </w:r>
            <w:r>
              <w:rPr>
                <w:rFonts w:hint="eastAsia" w:ascii="宋体" w:hAnsi="宋体" w:cs="宋体"/>
                <w:color w:val="000000"/>
                <w:kern w:val="0"/>
                <w:sz w:val="18"/>
                <w:szCs w:val="18"/>
                <w:highlight w:val="none"/>
              </w:rPr>
              <w:t>%</w:t>
            </w:r>
          </w:p>
        </w:tc>
        <w:tc>
          <w:tcPr>
            <w:tcW w:w="2813" w:type="dxa"/>
            <w:vMerge w:val="restart"/>
            <w:tcBorders>
              <w:top w:val="single" w:color="auto" w:sz="4" w:space="0"/>
              <w:left w:val="single" w:color="auto" w:sz="4" w:space="0"/>
              <w:bottom w:val="single" w:color="auto" w:sz="4" w:space="0"/>
              <w:right w:val="single" w:color="auto" w:sz="4" w:space="0"/>
            </w:tcBorders>
            <w:noWrap w:val="0"/>
            <w:vAlign w:val="center"/>
          </w:tcPr>
          <w:p w14:paraId="325DBC09">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通过受评</w:t>
            </w:r>
            <w:r>
              <w:rPr>
                <w:rFonts w:hint="eastAsia" w:ascii="宋体" w:hAnsi="宋体" w:cs="宋体"/>
                <w:color w:val="000000"/>
                <w:kern w:val="0"/>
                <w:sz w:val="18"/>
                <w:szCs w:val="18"/>
                <w:highlight w:val="none"/>
                <w:lang w:eastAsia="zh-CN"/>
              </w:rPr>
              <w:t>主体</w:t>
            </w:r>
            <w:r>
              <w:rPr>
                <w:rFonts w:hint="eastAsia" w:ascii="宋体" w:hAnsi="宋体" w:cs="宋体"/>
                <w:color w:val="000000"/>
                <w:kern w:val="0"/>
                <w:sz w:val="18"/>
                <w:szCs w:val="18"/>
                <w:highlight w:val="none"/>
              </w:rPr>
              <w:t>近一年度社保缴纳金额评估企业员工规模及缴纳社保规范程度。</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A71AF4B">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rPr>
              <w:t>社保缴纳金额（万元）</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322E82FD">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rPr>
              <w:t>得分</w:t>
            </w:r>
          </w:p>
        </w:tc>
      </w:tr>
      <w:tr w14:paraId="7DDA23C0">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379E1199">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49DC91D1">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6261C7BA">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705FE58">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732B8A6B">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4EEA504">
            <w:pPr>
              <w:widowControl/>
              <w:jc w:val="center"/>
              <w:rPr>
                <w:rFonts w:hint="default" w:ascii="宋体" w:hAnsi="宋体" w:eastAsia="宋体" w:cs="Arial Unicode MS"/>
                <w:color w:val="000000"/>
                <w:kern w:val="0"/>
                <w:sz w:val="18"/>
                <w:szCs w:val="18"/>
                <w:highlight w:val="none"/>
                <w:lang w:val="en-US" w:eastAsia="zh-CN"/>
              </w:rPr>
            </w:pPr>
            <w:r>
              <w:rPr>
                <w:rFonts w:hint="eastAsia"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100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D37470E">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100</w:t>
            </w:r>
          </w:p>
        </w:tc>
      </w:tr>
      <w:tr w14:paraId="7C2E8A61">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2AAB3714">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5892A16A">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20CC402B">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213C845">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6BD6450F">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FD57FFF">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lang w:val="en-US" w:eastAsia="zh-CN"/>
              </w:rPr>
              <w:t>-6</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0079153">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80</w:t>
            </w:r>
          </w:p>
        </w:tc>
      </w:tr>
      <w:tr w14:paraId="11999A55">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7315B754">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04E358D9">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19F11BE8">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EB76B3B">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22EE9B70">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4A4EE7AE">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6</w:t>
            </w:r>
            <w:r>
              <w:rPr>
                <w:rFonts w:ascii="宋体" w:hAnsi="宋体" w:cs="Arial Unicode MS"/>
                <w:color w:val="000000"/>
                <w:kern w:val="0"/>
                <w:sz w:val="18"/>
                <w:szCs w:val="18"/>
                <w:highlight w:val="none"/>
              </w:rPr>
              <w:t>0</w:t>
            </w:r>
            <w:r>
              <w:rPr>
                <w:rFonts w:hint="eastAsia" w:ascii="宋体" w:hAnsi="宋体" w:cs="Arial Unicode MS"/>
                <w:color w:val="000000"/>
                <w:kern w:val="0"/>
                <w:sz w:val="18"/>
                <w:szCs w:val="18"/>
                <w:highlight w:val="none"/>
                <w:lang w:val="en-US" w:eastAsia="zh-CN"/>
              </w:rPr>
              <w:t>-3</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FA6B2F5">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60</w:t>
            </w:r>
          </w:p>
        </w:tc>
      </w:tr>
      <w:tr w14:paraId="78FA1B8C">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45B12B90">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764DC80A">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184D25AD">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9C1A94B">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79D4686D">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C936BB0">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3</w:t>
            </w:r>
            <w:r>
              <w:rPr>
                <w:rFonts w:ascii="宋体" w:hAnsi="宋体" w:cs="Arial Unicode MS"/>
                <w:color w:val="000000"/>
                <w:kern w:val="0"/>
                <w:sz w:val="18"/>
                <w:szCs w:val="18"/>
                <w:highlight w:val="none"/>
              </w:rPr>
              <w:t>0</w:t>
            </w:r>
            <w:r>
              <w:rPr>
                <w:rFonts w:hint="eastAsia" w:ascii="宋体" w:hAnsi="宋体" w:cs="Arial Unicode MS"/>
                <w:color w:val="000000"/>
                <w:kern w:val="0"/>
                <w:sz w:val="18"/>
                <w:szCs w:val="18"/>
                <w:highlight w:val="none"/>
                <w:lang w:val="en-US" w:eastAsia="zh-CN"/>
              </w:rPr>
              <w:t>-1</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3B4DE88C">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40</w:t>
            </w:r>
          </w:p>
        </w:tc>
      </w:tr>
      <w:tr w14:paraId="4AB7773A">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5675ED73">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21A89E1A">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56678971">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E724070">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6342F4A3">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629BA29">
            <w:pPr>
              <w:widowControl/>
              <w:jc w:val="center"/>
              <w:rPr>
                <w:rFonts w:hint="eastAsia" w:ascii="宋体" w:hAnsi="宋体" w:eastAsia="宋体" w:cs="Arial Unicode MS"/>
                <w:color w:val="000000"/>
                <w:kern w:val="0"/>
                <w:sz w:val="18"/>
                <w:szCs w:val="18"/>
                <w:highlight w:val="none"/>
                <w:lang w:eastAsia="zh-CN"/>
              </w:rPr>
            </w:pPr>
            <w:r>
              <w:rPr>
                <w:rFonts w:hint="eastAsia" w:ascii="宋体" w:hAnsi="宋体" w:cs="Arial Unicode MS"/>
                <w:color w:val="000000"/>
                <w:kern w:val="0"/>
                <w:sz w:val="18"/>
                <w:szCs w:val="18"/>
                <w:highlight w:val="none"/>
                <w:lang w:eastAsia="zh-CN"/>
              </w:rPr>
              <w:t>＜</w:t>
            </w:r>
            <w:r>
              <w:rPr>
                <w:rFonts w:hint="eastAsia" w:ascii="宋体" w:hAnsi="宋体" w:cs="Arial Unicode MS"/>
                <w:color w:val="000000"/>
                <w:kern w:val="0"/>
                <w:sz w:val="18"/>
                <w:szCs w:val="18"/>
                <w:highlight w:val="none"/>
                <w:lang w:val="en-US" w:eastAsia="zh-CN"/>
              </w:rPr>
              <w:t>1</w:t>
            </w:r>
            <w:r>
              <w:rPr>
                <w:rFonts w:ascii="宋体" w:hAnsi="宋体" w:cs="Arial Unicode MS"/>
                <w:color w:val="000000"/>
                <w:kern w:val="0"/>
                <w:sz w:val="18"/>
                <w:szCs w:val="18"/>
                <w:highlight w:val="none"/>
              </w:rPr>
              <w:t>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2F4FE2D1">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20</w:t>
            </w:r>
          </w:p>
        </w:tc>
      </w:tr>
      <w:tr w14:paraId="5C7ED782">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72CEAE16">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0E2D1DA2">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bottom w:val="single" w:color="auto" w:sz="4" w:space="0"/>
              <w:right w:val="single" w:color="auto" w:sz="4" w:space="0"/>
            </w:tcBorders>
            <w:noWrap w:val="0"/>
            <w:vAlign w:val="center"/>
          </w:tcPr>
          <w:p w14:paraId="6A579791">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人员配置</w:t>
            </w:r>
          </w:p>
        </w:tc>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3943B54B">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25</w:t>
            </w:r>
            <w:r>
              <w:rPr>
                <w:rFonts w:hint="eastAsia" w:ascii="宋体" w:hAnsi="宋体" w:cs="宋体"/>
                <w:color w:val="000000"/>
                <w:kern w:val="0"/>
                <w:sz w:val="18"/>
                <w:szCs w:val="18"/>
                <w:highlight w:val="none"/>
              </w:rPr>
              <w:t>%</w:t>
            </w:r>
          </w:p>
        </w:tc>
        <w:tc>
          <w:tcPr>
            <w:tcW w:w="2813" w:type="dxa"/>
            <w:vMerge w:val="restart"/>
            <w:tcBorders>
              <w:top w:val="single" w:color="auto" w:sz="4" w:space="0"/>
              <w:left w:val="single" w:color="auto" w:sz="4" w:space="0"/>
              <w:bottom w:val="single" w:color="auto" w:sz="4" w:space="0"/>
              <w:right w:val="single" w:color="auto" w:sz="4" w:space="0"/>
            </w:tcBorders>
            <w:noWrap w:val="0"/>
            <w:vAlign w:val="center"/>
          </w:tcPr>
          <w:p w14:paraId="62515F12">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通过</w:t>
            </w:r>
            <w:r>
              <w:rPr>
                <w:rFonts w:hint="eastAsia" w:ascii="宋体" w:hAnsi="宋体" w:cs="宋体"/>
                <w:color w:val="000000"/>
                <w:kern w:val="0"/>
                <w:sz w:val="18"/>
                <w:szCs w:val="18"/>
                <w:highlight w:val="none"/>
                <w:lang w:eastAsia="zh-CN"/>
              </w:rPr>
              <w:t>对受评主体注册专业工程师及其他专业从业人员数量评估受评企业的专业技术实力。</w:t>
            </w: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E4D1035">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lang w:val="en-US" w:eastAsia="zh-CN"/>
              </w:rPr>
              <w:t>专业技术</w:t>
            </w:r>
            <w:r>
              <w:rPr>
                <w:rFonts w:hint="eastAsia" w:ascii="宋体" w:hAnsi="宋体" w:cs="Arial Unicode MS"/>
                <w:b/>
                <w:bCs/>
                <w:color w:val="000000"/>
                <w:kern w:val="0"/>
                <w:sz w:val="18"/>
                <w:szCs w:val="18"/>
                <w:highlight w:val="none"/>
              </w:rPr>
              <w:t>（人）</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3CFEC267">
            <w:pPr>
              <w:widowControl/>
              <w:jc w:val="center"/>
              <w:rPr>
                <w:rFonts w:ascii="宋体" w:hAnsi="宋体" w:cs="Arial Unicode MS"/>
                <w:b/>
                <w:bCs/>
                <w:color w:val="000000"/>
                <w:kern w:val="0"/>
                <w:sz w:val="18"/>
                <w:szCs w:val="18"/>
                <w:highlight w:val="none"/>
              </w:rPr>
            </w:pPr>
            <w:r>
              <w:rPr>
                <w:rFonts w:hint="eastAsia" w:ascii="宋体" w:hAnsi="宋体" w:cs="Arial Unicode MS"/>
                <w:b/>
                <w:bCs/>
                <w:color w:val="000000"/>
                <w:kern w:val="0"/>
                <w:sz w:val="18"/>
                <w:szCs w:val="18"/>
                <w:highlight w:val="none"/>
              </w:rPr>
              <w:t>得分</w:t>
            </w:r>
          </w:p>
        </w:tc>
      </w:tr>
      <w:tr w14:paraId="13DB8D82">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40463A89">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6E2E8BC2">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4A0C7D27">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7B75E45">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37540C38">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372E8EA">
            <w:pPr>
              <w:widowControl/>
              <w:jc w:val="center"/>
              <w:rPr>
                <w:rFonts w:hint="default" w:ascii="宋体" w:hAnsi="宋体" w:cs="Arial Unicode MS" w:eastAsiaTheme="minorEastAsia"/>
                <w:color w:val="000000"/>
                <w:kern w:val="0"/>
                <w:sz w:val="18"/>
                <w:szCs w:val="18"/>
                <w:highlight w:val="none"/>
                <w:lang w:val="en-US" w:eastAsia="zh-CN"/>
              </w:rPr>
            </w:pPr>
            <w:r>
              <w:rPr>
                <w:rFonts w:hint="eastAsia"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30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60559B9B">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100</w:t>
            </w:r>
          </w:p>
        </w:tc>
      </w:tr>
      <w:tr w14:paraId="744CBCF8">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6C556DC9">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125A750E">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1DEACCF5">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F931EEE">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0DC4071D">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58DDB644">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20-3</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4F5E902E">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80</w:t>
            </w:r>
          </w:p>
        </w:tc>
      </w:tr>
      <w:tr w14:paraId="393CEF07">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5B60C1AE">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163FDCBE">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24C91D39">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4E93F15">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5E3AB03B">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1F9E4175">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10-2</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37C61919">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60</w:t>
            </w:r>
          </w:p>
        </w:tc>
      </w:tr>
      <w:tr w14:paraId="3A8DBDCD">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00E7E4FD">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2DAE0886">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3A897446">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56B8E73">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53C75719">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792E94F0">
            <w:pPr>
              <w:widowControl/>
              <w:jc w:val="center"/>
              <w:rPr>
                <w:rFonts w:ascii="宋体" w:hAnsi="宋体" w:cs="Arial Unicode MS"/>
                <w:color w:val="000000"/>
                <w:kern w:val="0"/>
                <w:sz w:val="18"/>
                <w:szCs w:val="18"/>
                <w:highlight w:val="none"/>
              </w:rPr>
            </w:pPr>
            <w:r>
              <w:rPr>
                <w:rFonts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5-1</w:t>
            </w:r>
            <w:r>
              <w:rPr>
                <w:rFonts w:ascii="宋体" w:hAnsi="宋体" w:cs="Arial Unicode MS"/>
                <w:color w:val="000000"/>
                <w:kern w:val="0"/>
                <w:sz w:val="18"/>
                <w:szCs w:val="18"/>
                <w:highlight w:val="none"/>
              </w:rPr>
              <w:t>0</w:t>
            </w:r>
            <w:r>
              <w:rPr>
                <w:rFonts w:hint="eastAsia" w:ascii="宋体" w:hAnsi="宋体" w:eastAsia="宋体" w:cs="宋体"/>
                <w:color w:val="000000"/>
                <w:kern w:val="0"/>
                <w:sz w:val="18"/>
                <w:szCs w:val="18"/>
                <w:highlight w:val="none"/>
              </w:rPr>
              <w:t>]</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372C359B">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40</w:t>
            </w:r>
          </w:p>
        </w:tc>
      </w:tr>
      <w:tr w14:paraId="4DCB04F2">
        <w:tblPrEx>
          <w:tblCellMar>
            <w:top w:w="0" w:type="dxa"/>
            <w:left w:w="108" w:type="dxa"/>
            <w:bottom w:w="0" w:type="dxa"/>
            <w:right w:w="108" w:type="dxa"/>
          </w:tblCellMar>
        </w:tblPrEx>
        <w:trPr>
          <w:trHeight w:val="34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1D4C4063">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4EB367F9">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2007F956">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CC92A08">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42D051A6">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noWrap w:val="0"/>
            <w:vAlign w:val="center"/>
          </w:tcPr>
          <w:p w14:paraId="086B63EA">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w:t>
            </w:r>
            <w:r>
              <w:rPr>
                <w:rFonts w:hint="eastAsia" w:ascii="宋体" w:hAnsi="宋体" w:cs="Arial Unicode MS"/>
                <w:color w:val="000000"/>
                <w:kern w:val="0"/>
                <w:sz w:val="18"/>
                <w:szCs w:val="18"/>
                <w:highlight w:val="none"/>
                <w:lang w:val="en-US" w:eastAsia="zh-CN"/>
              </w:rPr>
              <w:t>5</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07C55C5F">
            <w:pPr>
              <w:widowControl/>
              <w:jc w:val="center"/>
              <w:rPr>
                <w:rFonts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20</w:t>
            </w:r>
          </w:p>
        </w:tc>
      </w:tr>
      <w:tr w14:paraId="1F4063F6">
        <w:tblPrEx>
          <w:tblCellMar>
            <w:top w:w="0" w:type="dxa"/>
            <w:left w:w="108" w:type="dxa"/>
            <w:bottom w:w="0" w:type="dxa"/>
            <w:right w:w="108" w:type="dxa"/>
          </w:tblCellMar>
        </w:tblPrEx>
        <w:trPr>
          <w:trHeight w:val="343"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54AB0367">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585FA809">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F754DD9">
            <w:pPr>
              <w:jc w:val="center"/>
              <w:rPr>
                <w:rFonts w:hint="eastAsia"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管理</w:t>
            </w:r>
            <w:r>
              <w:rPr>
                <w:rFonts w:hint="eastAsia" w:ascii="宋体" w:hAnsi="宋体" w:cs="宋体"/>
                <w:color w:val="000000"/>
                <w:kern w:val="0"/>
                <w:sz w:val="18"/>
                <w:szCs w:val="18"/>
                <w:highlight w:val="none"/>
              </w:rPr>
              <w:t>制度</w:t>
            </w:r>
          </w:p>
          <w:p w14:paraId="26127BD3">
            <w:pPr>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建设</w:t>
            </w:r>
          </w:p>
          <w:p w14:paraId="22B0BAF8">
            <w:pPr>
              <w:widowControl/>
              <w:jc w:val="center"/>
              <w:rPr>
                <w:rFonts w:ascii="宋体" w:hAnsi="宋体" w:cs="宋体"/>
                <w:color w:val="000000"/>
                <w:kern w:val="0"/>
                <w:sz w:val="18"/>
                <w:szCs w:val="18"/>
                <w:highlight w:val="none"/>
              </w:rP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2570EA1">
            <w:pPr>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25</w:t>
            </w:r>
            <w:r>
              <w:rPr>
                <w:rFonts w:hint="eastAsia" w:ascii="宋体" w:hAnsi="宋体" w:cs="宋体"/>
                <w:color w:val="000000"/>
                <w:kern w:val="0"/>
                <w:sz w:val="18"/>
                <w:szCs w:val="18"/>
                <w:highlight w:val="none"/>
              </w:rPr>
              <w:t>%</w:t>
            </w:r>
          </w:p>
          <w:p w14:paraId="1065FAAE">
            <w:pPr>
              <w:widowControl/>
              <w:jc w:val="center"/>
              <w:rPr>
                <w:rFonts w:ascii="宋体" w:hAnsi="宋体" w:cs="宋体"/>
                <w:color w:val="000000"/>
                <w:kern w:val="0"/>
                <w:sz w:val="18"/>
                <w:szCs w:val="18"/>
                <w:highlight w:val="none"/>
              </w:rPr>
            </w:pPr>
          </w:p>
        </w:tc>
        <w:tc>
          <w:tcPr>
            <w:tcW w:w="2813"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45B1AAB">
            <w:pPr>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rPr>
              <w:t>考核</w:t>
            </w:r>
            <w:r>
              <w:rPr>
                <w:rFonts w:hint="eastAsia" w:ascii="宋体" w:hAnsi="宋体" w:cs="宋体"/>
                <w:color w:val="000000"/>
                <w:kern w:val="0"/>
                <w:sz w:val="18"/>
                <w:szCs w:val="18"/>
                <w:highlight w:val="none"/>
                <w:lang w:eastAsia="zh-CN"/>
              </w:rPr>
              <w:t>受评主体</w:t>
            </w:r>
            <w:r>
              <w:rPr>
                <w:rFonts w:hint="eastAsia" w:ascii="宋体" w:hAnsi="宋体" w:cs="宋体"/>
                <w:color w:val="000000"/>
                <w:kern w:val="0"/>
                <w:sz w:val="18"/>
                <w:szCs w:val="18"/>
                <w:highlight w:val="none"/>
              </w:rPr>
              <w:t>的制度建设情况，完善的管理制度体系应至少包括</w:t>
            </w:r>
            <w:r>
              <w:rPr>
                <w:rFonts w:hint="eastAsia" w:ascii="宋体" w:hAnsi="宋体" w:cs="宋体"/>
                <w:color w:val="000000"/>
                <w:kern w:val="0"/>
                <w:sz w:val="18"/>
                <w:szCs w:val="18"/>
                <w:highlight w:val="none"/>
                <w:lang w:eastAsia="zh-CN"/>
              </w:rPr>
              <w:t>项目管理</w:t>
            </w:r>
            <w:r>
              <w:rPr>
                <w:rFonts w:hint="eastAsia" w:ascii="宋体" w:hAnsi="宋体" w:cs="宋体"/>
                <w:color w:val="000000"/>
                <w:kern w:val="0"/>
                <w:sz w:val="18"/>
                <w:szCs w:val="18"/>
                <w:highlight w:val="none"/>
              </w:rPr>
              <w:t>制度、财务制度、人事制度、客户服务制度、法务管理制度、信息管理制度等。</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CD7597">
            <w:pPr>
              <w:widowControl/>
              <w:jc w:val="center"/>
              <w:rPr>
                <w:rFonts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标准</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15961F">
            <w:pPr>
              <w:widowControl/>
              <w:jc w:val="center"/>
              <w:rPr>
                <w:rFonts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得分</w:t>
            </w:r>
          </w:p>
        </w:tc>
      </w:tr>
      <w:tr w14:paraId="0348228E">
        <w:tblPrEx>
          <w:tblCellMar>
            <w:top w:w="0" w:type="dxa"/>
            <w:left w:w="108" w:type="dxa"/>
            <w:bottom w:w="0" w:type="dxa"/>
            <w:right w:w="108" w:type="dxa"/>
          </w:tblCellMar>
        </w:tblPrEx>
        <w:trPr>
          <w:trHeight w:val="343"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7B2DA924">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48F14E55">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5F9CA962">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FD5BBC8">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0DB171FA">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D74081">
            <w:pPr>
              <w:widowControl/>
              <w:jc w:val="center"/>
              <w:rPr>
                <w:rFonts w:hint="default"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制度建设完善</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D29ABE">
            <w:pPr>
              <w:widowControl/>
              <w:jc w:val="center"/>
              <w:rPr>
                <w:rFonts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100</w:t>
            </w:r>
          </w:p>
        </w:tc>
      </w:tr>
      <w:tr w14:paraId="0FF57C11">
        <w:tblPrEx>
          <w:tblCellMar>
            <w:top w:w="0" w:type="dxa"/>
            <w:left w:w="108" w:type="dxa"/>
            <w:bottom w:w="0" w:type="dxa"/>
            <w:right w:w="108" w:type="dxa"/>
          </w:tblCellMar>
        </w:tblPrEx>
        <w:trPr>
          <w:trHeight w:val="579"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62A363B9">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164B7698">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303F4581">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E475303">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63E3EFDB">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D0E8BB">
            <w:pPr>
              <w:widowControl/>
              <w:jc w:val="center"/>
              <w:rPr>
                <w:rFonts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制定部分制度，制度体系尚不完善</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7926DC">
            <w:pPr>
              <w:widowControl/>
              <w:jc w:val="center"/>
              <w:rPr>
                <w:rFonts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50</w:t>
            </w:r>
          </w:p>
        </w:tc>
      </w:tr>
      <w:tr w14:paraId="7D19E5B6">
        <w:tblPrEx>
          <w:tblCellMar>
            <w:top w:w="0" w:type="dxa"/>
            <w:left w:w="108" w:type="dxa"/>
            <w:bottom w:w="0" w:type="dxa"/>
            <w:right w:w="108" w:type="dxa"/>
          </w:tblCellMar>
        </w:tblPrEx>
        <w:trPr>
          <w:trHeight w:val="366" w:hRule="atLeast"/>
        </w:trPr>
        <w:tc>
          <w:tcPr>
            <w:tcW w:w="1017" w:type="dxa"/>
            <w:vMerge w:val="continue"/>
            <w:tcBorders>
              <w:top w:val="single" w:color="auto" w:sz="4" w:space="0"/>
              <w:left w:val="single" w:color="auto" w:sz="4" w:space="0"/>
              <w:bottom w:val="single" w:color="auto" w:sz="4" w:space="0"/>
              <w:right w:val="single" w:color="auto" w:sz="4" w:space="0"/>
            </w:tcBorders>
            <w:noWrap w:val="0"/>
            <w:vAlign w:val="center"/>
          </w:tcPr>
          <w:p w14:paraId="4BF1D574">
            <w:pPr>
              <w:widowControl/>
              <w:jc w:val="center"/>
              <w:rPr>
                <w:rFonts w:ascii="宋体" w:hAnsi="宋体" w:cs="宋体"/>
                <w:color w:val="000000"/>
                <w:kern w:val="0"/>
                <w:sz w:val="18"/>
                <w:szCs w:val="18"/>
                <w:highlight w:val="none"/>
              </w:rPr>
            </w:pPr>
          </w:p>
        </w:tc>
        <w:tc>
          <w:tcPr>
            <w:tcW w:w="844" w:type="dxa"/>
            <w:vMerge w:val="continue"/>
            <w:tcBorders>
              <w:top w:val="single" w:color="auto" w:sz="4" w:space="0"/>
              <w:left w:val="single" w:color="auto" w:sz="4" w:space="0"/>
              <w:bottom w:val="single" w:color="auto" w:sz="4" w:space="0"/>
              <w:right w:val="single" w:color="auto" w:sz="4" w:space="0"/>
            </w:tcBorders>
            <w:noWrap w:val="0"/>
            <w:vAlign w:val="center"/>
          </w:tcPr>
          <w:p w14:paraId="74579834">
            <w:pPr>
              <w:widowControl/>
              <w:jc w:val="center"/>
              <w:rPr>
                <w:rFonts w:ascii="宋体" w:hAnsi="宋体" w:cs="宋体"/>
                <w:color w:val="000000"/>
                <w:kern w:val="0"/>
                <w:sz w:val="18"/>
                <w:szCs w:val="18"/>
                <w:highlight w:val="none"/>
              </w:rPr>
            </w:pPr>
          </w:p>
        </w:tc>
        <w:tc>
          <w:tcPr>
            <w:tcW w:w="1263" w:type="dxa"/>
            <w:vMerge w:val="continue"/>
            <w:tcBorders>
              <w:top w:val="single" w:color="auto" w:sz="4" w:space="0"/>
              <w:left w:val="single" w:color="auto" w:sz="4" w:space="0"/>
              <w:bottom w:val="single" w:color="auto" w:sz="4" w:space="0"/>
              <w:right w:val="single" w:color="auto" w:sz="4" w:space="0"/>
            </w:tcBorders>
            <w:noWrap w:val="0"/>
            <w:vAlign w:val="center"/>
          </w:tcPr>
          <w:p w14:paraId="22C96812">
            <w:pPr>
              <w:widowControl/>
              <w:jc w:val="center"/>
              <w:rPr>
                <w:rFonts w:ascii="宋体" w:hAnsi="宋体" w:cs="宋体"/>
                <w:color w:val="000000"/>
                <w:kern w:val="0"/>
                <w:sz w:val="18"/>
                <w:szCs w:val="18"/>
                <w:highlight w:val="none"/>
              </w:rPr>
            </w:pPr>
          </w:p>
        </w:tc>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AB9F247">
            <w:pPr>
              <w:widowControl/>
              <w:jc w:val="center"/>
              <w:rPr>
                <w:rFonts w:ascii="宋体" w:hAnsi="宋体" w:cs="宋体"/>
                <w:color w:val="000000"/>
                <w:kern w:val="0"/>
                <w:sz w:val="18"/>
                <w:szCs w:val="18"/>
                <w:highlight w:val="none"/>
              </w:rPr>
            </w:pPr>
          </w:p>
        </w:tc>
        <w:tc>
          <w:tcPr>
            <w:tcW w:w="2813" w:type="dxa"/>
            <w:vMerge w:val="continue"/>
            <w:tcBorders>
              <w:top w:val="single" w:color="auto" w:sz="4" w:space="0"/>
              <w:left w:val="single" w:color="auto" w:sz="4" w:space="0"/>
              <w:bottom w:val="single" w:color="auto" w:sz="4" w:space="0"/>
              <w:right w:val="single" w:color="auto" w:sz="4" w:space="0"/>
            </w:tcBorders>
            <w:noWrap w:val="0"/>
            <w:vAlign w:val="center"/>
          </w:tcPr>
          <w:p w14:paraId="3E5E9CB9">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A9A45">
            <w:pPr>
              <w:widowControl/>
              <w:jc w:val="center"/>
              <w:rPr>
                <w:rFonts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仅建立少部分制度</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CB343">
            <w:pPr>
              <w:widowControl/>
              <w:jc w:val="center"/>
              <w:rPr>
                <w:rFonts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0</w:t>
            </w:r>
          </w:p>
        </w:tc>
      </w:tr>
      <w:tr w14:paraId="025D65E8">
        <w:tblPrEx>
          <w:tblCellMar>
            <w:top w:w="0" w:type="dxa"/>
            <w:left w:w="108" w:type="dxa"/>
            <w:bottom w:w="0" w:type="dxa"/>
            <w:right w:w="108" w:type="dxa"/>
          </w:tblCellMar>
        </w:tblPrEx>
        <w:trPr>
          <w:trHeight w:val="2149" w:hRule="atLeast"/>
        </w:trPr>
        <w:tc>
          <w:tcPr>
            <w:tcW w:w="1017" w:type="dxa"/>
            <w:vMerge w:val="restart"/>
            <w:tcBorders>
              <w:top w:val="single" w:color="auto" w:sz="4" w:space="0"/>
              <w:left w:val="single" w:color="auto" w:sz="4" w:space="0"/>
              <w:right w:val="single" w:color="auto" w:sz="4" w:space="0"/>
            </w:tcBorders>
            <w:noWrap w:val="0"/>
            <w:vAlign w:val="center"/>
          </w:tcPr>
          <w:p w14:paraId="624DF56A">
            <w:pPr>
              <w:widowControl/>
              <w:jc w:val="center"/>
              <w:rPr>
                <w:rFonts w:hint="default" w:ascii="宋体" w:hAnsi="宋体" w:cs="宋体" w:eastAsiaTheme="minorEastAsia"/>
                <w:color w:val="000000"/>
                <w:kern w:val="0"/>
                <w:sz w:val="18"/>
                <w:szCs w:val="18"/>
                <w:highlight w:val="none"/>
                <w:lang w:val="en-US" w:eastAsia="zh-CN"/>
              </w:rPr>
            </w:pPr>
            <w:bookmarkStart w:id="0" w:name="_Toc24371158"/>
            <w:bookmarkStart w:id="1" w:name="_Toc24028249"/>
            <w:r>
              <w:rPr>
                <w:rFonts w:hint="eastAsia" w:ascii="宋体" w:hAnsi="宋体" w:cs="宋体"/>
                <w:color w:val="000000"/>
                <w:kern w:val="0"/>
                <w:sz w:val="18"/>
                <w:szCs w:val="18"/>
                <w:highlight w:val="none"/>
                <w:lang w:val="en-US" w:eastAsia="zh-CN"/>
              </w:rPr>
              <w:t>优良信用信息</w:t>
            </w:r>
          </w:p>
        </w:tc>
        <w:tc>
          <w:tcPr>
            <w:tcW w:w="844" w:type="dxa"/>
            <w:vMerge w:val="restart"/>
            <w:tcBorders>
              <w:top w:val="single" w:color="auto" w:sz="4" w:space="0"/>
              <w:left w:val="single" w:color="auto" w:sz="4" w:space="0"/>
              <w:right w:val="single" w:color="auto" w:sz="4" w:space="0"/>
            </w:tcBorders>
            <w:noWrap w:val="0"/>
            <w:vAlign w:val="center"/>
          </w:tcPr>
          <w:p w14:paraId="094CC918">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45%</w:t>
            </w:r>
          </w:p>
        </w:tc>
        <w:tc>
          <w:tcPr>
            <w:tcW w:w="12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910E4C">
            <w:pPr>
              <w:widowControl/>
              <w:jc w:val="center"/>
              <w:rPr>
                <w:rFonts w:hint="default"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科技创新</w:t>
            </w:r>
          </w:p>
        </w:tc>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BCD99E">
            <w:pPr>
              <w:widowControl/>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15</w:t>
            </w:r>
            <w:r>
              <w:rPr>
                <w:rFonts w:hint="eastAsia" w:ascii="宋体" w:hAnsi="宋体" w:cs="宋体"/>
                <w:color w:val="000000"/>
                <w:kern w:val="0"/>
                <w:sz w:val="18"/>
                <w:szCs w:val="18"/>
                <w:highlight w:val="none"/>
              </w:rPr>
              <w:t>%</w:t>
            </w:r>
          </w:p>
        </w:tc>
        <w:tc>
          <w:tcPr>
            <w:tcW w:w="28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FFCC27">
            <w:pPr>
              <w:widowControl/>
              <w:jc w:val="left"/>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考核受评</w:t>
            </w:r>
            <w:r>
              <w:rPr>
                <w:rFonts w:hint="eastAsia" w:ascii="宋体" w:hAnsi="宋体" w:cs="宋体"/>
                <w:color w:val="000000"/>
                <w:kern w:val="0"/>
                <w:sz w:val="18"/>
                <w:szCs w:val="18"/>
                <w:highlight w:val="none"/>
                <w:lang w:eastAsia="zh-CN"/>
              </w:rPr>
              <w:t>主体</w:t>
            </w:r>
            <w:r>
              <w:rPr>
                <w:rFonts w:hint="eastAsia" w:ascii="宋体" w:hAnsi="宋体" w:cs="宋体"/>
                <w:color w:val="000000"/>
                <w:kern w:val="0"/>
                <w:sz w:val="18"/>
                <w:szCs w:val="18"/>
                <w:highlight w:val="none"/>
                <w:lang w:val="en-US" w:eastAsia="zh-CN"/>
              </w:rPr>
              <w:t>近3年科技</w:t>
            </w:r>
            <w:r>
              <w:rPr>
                <w:rFonts w:hint="eastAsia" w:ascii="宋体" w:hAnsi="宋体" w:cs="宋体"/>
                <w:color w:val="000000"/>
                <w:kern w:val="0"/>
                <w:sz w:val="18"/>
                <w:szCs w:val="18"/>
                <w:highlight w:val="none"/>
              </w:rPr>
              <w:t>创新能力，知识产权包括</w:t>
            </w:r>
            <w:r>
              <w:rPr>
                <w:rFonts w:hint="eastAsia" w:ascii="宋体" w:hAnsi="宋体" w:cs="宋体"/>
                <w:color w:val="000000"/>
                <w:kern w:val="0"/>
                <w:sz w:val="18"/>
                <w:szCs w:val="18"/>
                <w:highlight w:val="none"/>
                <w:lang w:val="en-US" w:eastAsia="zh-CN"/>
              </w:rPr>
              <w:t>科技进步奖、工法、</w:t>
            </w:r>
            <w:r>
              <w:rPr>
                <w:rFonts w:hint="eastAsia" w:ascii="宋体" w:hAnsi="宋体" w:cs="宋体"/>
                <w:color w:val="000000"/>
                <w:kern w:val="0"/>
                <w:sz w:val="18"/>
                <w:szCs w:val="18"/>
                <w:highlight w:val="none"/>
                <w:lang w:eastAsia="zh-CN"/>
              </w:rPr>
              <w:t>商标、</w:t>
            </w:r>
            <w:r>
              <w:rPr>
                <w:rFonts w:hint="eastAsia" w:ascii="宋体" w:hAnsi="宋体" w:cs="宋体"/>
                <w:color w:val="000000"/>
                <w:kern w:val="0"/>
                <w:sz w:val="18"/>
                <w:szCs w:val="18"/>
                <w:highlight w:val="none"/>
              </w:rPr>
              <w:t>专利、计算机软件著作权等。</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2BD34DC">
            <w:pPr>
              <w:widowControl/>
              <w:jc w:val="left"/>
              <w:rPr>
                <w:rFonts w:hint="eastAsia" w:ascii="宋体" w:hAnsi="宋体" w:cs="Arial Unicode MS"/>
                <w:color w:val="000000"/>
                <w:kern w:val="0"/>
                <w:sz w:val="18"/>
                <w:szCs w:val="18"/>
                <w:highlight w:val="none"/>
              </w:rPr>
            </w:pPr>
            <w:r>
              <w:rPr>
                <w:rFonts w:hint="eastAsia" w:ascii="宋体" w:hAnsi="宋体" w:cs="宋体"/>
                <w:color w:val="000000"/>
                <w:kern w:val="0"/>
                <w:sz w:val="18"/>
                <w:szCs w:val="18"/>
                <w:highlight w:val="none"/>
              </w:rPr>
              <w:t>本项为加分项，</w:t>
            </w:r>
            <w:r>
              <w:rPr>
                <w:rFonts w:hint="eastAsia" w:ascii="宋体" w:hAnsi="宋体" w:cs="Arial Unicode MS"/>
                <w:color w:val="000000"/>
                <w:kern w:val="0"/>
                <w:sz w:val="18"/>
                <w:szCs w:val="18"/>
                <w:highlight w:val="none"/>
              </w:rPr>
              <w:t>满分</w:t>
            </w:r>
            <w:r>
              <w:rPr>
                <w:rFonts w:hint="eastAsia" w:ascii="宋体" w:hAnsi="宋体" w:cs="Arial Unicode MS"/>
                <w:color w:val="000000"/>
                <w:kern w:val="0"/>
                <w:sz w:val="18"/>
                <w:szCs w:val="18"/>
                <w:highlight w:val="none"/>
                <w:lang w:val="en-US" w:eastAsia="zh-CN"/>
              </w:rPr>
              <w:t>共</w:t>
            </w:r>
            <w:r>
              <w:rPr>
                <w:rFonts w:hint="eastAsia" w:ascii="宋体" w:hAnsi="宋体" w:cs="Arial Unicode MS"/>
                <w:color w:val="000000"/>
                <w:kern w:val="0"/>
                <w:sz w:val="18"/>
                <w:szCs w:val="18"/>
                <w:highlight w:val="none"/>
              </w:rPr>
              <w:t>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rPr>
              <w:t>分</w:t>
            </w:r>
            <w:r>
              <w:rPr>
                <w:rFonts w:hint="eastAsia" w:ascii="宋体" w:hAnsi="宋体" w:cs="Arial Unicode MS"/>
                <w:color w:val="000000"/>
                <w:kern w:val="0"/>
                <w:sz w:val="18"/>
                <w:szCs w:val="18"/>
                <w:highlight w:val="none"/>
                <w:lang w:eastAsia="zh-CN"/>
              </w:rPr>
              <w:t>。</w:t>
            </w:r>
            <w:r>
              <w:rPr>
                <w:rFonts w:hint="eastAsia" w:ascii="宋体" w:hAnsi="宋体" w:cs="Arial Unicode MS"/>
                <w:color w:val="000000"/>
                <w:kern w:val="0"/>
                <w:sz w:val="18"/>
                <w:szCs w:val="18"/>
                <w:highlight w:val="none"/>
                <w:lang w:val="en-US" w:eastAsia="zh-CN"/>
              </w:rPr>
              <w:t>省（部）级</w:t>
            </w:r>
            <w:r>
              <w:rPr>
                <w:rFonts w:hint="eastAsia" w:ascii="宋体" w:hAnsi="宋体" w:cs="宋体"/>
                <w:color w:val="000000"/>
                <w:kern w:val="0"/>
                <w:sz w:val="18"/>
                <w:szCs w:val="18"/>
                <w:highlight w:val="none"/>
                <w:lang w:val="en-US" w:eastAsia="zh-CN"/>
              </w:rPr>
              <w:t>科技进步奖每项加50分，</w:t>
            </w:r>
            <w:r>
              <w:rPr>
                <w:rFonts w:hint="eastAsia" w:ascii="宋体" w:hAnsi="宋体" w:cs="Arial Unicode MS"/>
                <w:color w:val="000000"/>
                <w:kern w:val="0"/>
                <w:sz w:val="18"/>
                <w:szCs w:val="18"/>
                <w:highlight w:val="none"/>
                <w:lang w:val="en-US" w:eastAsia="zh-CN"/>
              </w:rPr>
              <w:t>省（部）级</w:t>
            </w:r>
            <w:r>
              <w:rPr>
                <w:rFonts w:hint="eastAsia" w:ascii="宋体" w:hAnsi="宋体" w:cs="宋体"/>
                <w:color w:val="000000"/>
                <w:kern w:val="0"/>
                <w:sz w:val="18"/>
                <w:szCs w:val="18"/>
                <w:highlight w:val="none"/>
                <w:lang w:val="en-US" w:eastAsia="zh-CN"/>
              </w:rPr>
              <w:t>科技成果每项加30分，省级工法、</w:t>
            </w:r>
            <w:r>
              <w:rPr>
                <w:rFonts w:hint="eastAsia" w:ascii="宋体" w:hAnsi="宋体" w:cs="Arial Unicode MS"/>
                <w:color w:val="000000"/>
                <w:kern w:val="0"/>
                <w:sz w:val="18"/>
                <w:szCs w:val="18"/>
                <w:highlight w:val="none"/>
              </w:rPr>
              <w:t>发明专利每项加2</w:t>
            </w:r>
            <w:r>
              <w:rPr>
                <w:rFonts w:ascii="宋体" w:hAnsi="宋体" w:cs="Arial Unicode MS"/>
                <w:color w:val="000000"/>
                <w:kern w:val="0"/>
                <w:sz w:val="18"/>
                <w:szCs w:val="18"/>
                <w:highlight w:val="none"/>
              </w:rPr>
              <w:t>0</w:t>
            </w:r>
            <w:r>
              <w:rPr>
                <w:rFonts w:hint="eastAsia" w:ascii="宋体" w:hAnsi="宋体" w:cs="Arial Unicode MS"/>
                <w:color w:val="000000"/>
                <w:kern w:val="0"/>
                <w:sz w:val="18"/>
                <w:szCs w:val="18"/>
                <w:highlight w:val="none"/>
              </w:rPr>
              <w:t>分，</w:t>
            </w:r>
            <w:r>
              <w:rPr>
                <w:rFonts w:hint="eastAsia" w:ascii="宋体" w:hAnsi="宋体" w:cs="Arial Unicode MS"/>
                <w:color w:val="000000"/>
                <w:kern w:val="0"/>
                <w:sz w:val="18"/>
                <w:szCs w:val="18"/>
                <w:highlight w:val="none"/>
                <w:lang w:eastAsia="zh-CN"/>
              </w:rPr>
              <w:t>商标、</w:t>
            </w:r>
            <w:r>
              <w:rPr>
                <w:rFonts w:hint="eastAsia" w:ascii="宋体" w:hAnsi="宋体" w:cs="Arial Unicode MS"/>
                <w:color w:val="000000"/>
                <w:kern w:val="0"/>
                <w:sz w:val="18"/>
                <w:szCs w:val="18"/>
                <w:highlight w:val="none"/>
                <w:lang w:val="en-US" w:eastAsia="zh-CN"/>
              </w:rPr>
              <w:t>实用新型</w:t>
            </w:r>
            <w:r>
              <w:rPr>
                <w:rFonts w:hint="eastAsia" w:ascii="宋体" w:hAnsi="宋体" w:cs="Arial Unicode MS"/>
                <w:color w:val="000000"/>
                <w:kern w:val="0"/>
                <w:sz w:val="18"/>
                <w:szCs w:val="18"/>
                <w:highlight w:val="none"/>
                <w:lang w:eastAsia="zh-CN"/>
              </w:rPr>
              <w:t>专利每</w:t>
            </w:r>
            <w:r>
              <w:rPr>
                <w:rFonts w:hint="eastAsia" w:ascii="宋体" w:hAnsi="宋体" w:cs="Arial Unicode MS"/>
                <w:color w:val="000000"/>
                <w:kern w:val="0"/>
                <w:sz w:val="18"/>
                <w:szCs w:val="18"/>
                <w:highlight w:val="none"/>
                <w:lang w:val="en-US" w:eastAsia="zh-CN"/>
              </w:rPr>
              <w:t>项</w:t>
            </w:r>
            <w:r>
              <w:rPr>
                <w:rFonts w:hint="eastAsia" w:ascii="宋体" w:hAnsi="宋体" w:cs="Arial Unicode MS"/>
                <w:color w:val="000000"/>
                <w:kern w:val="0"/>
                <w:sz w:val="18"/>
                <w:szCs w:val="18"/>
                <w:highlight w:val="none"/>
              </w:rPr>
              <w:t>加</w:t>
            </w:r>
            <w:r>
              <w:rPr>
                <w:rFonts w:ascii="宋体" w:hAnsi="宋体" w:cs="Arial Unicode MS"/>
                <w:color w:val="000000"/>
                <w:kern w:val="0"/>
                <w:sz w:val="18"/>
                <w:szCs w:val="18"/>
                <w:highlight w:val="none"/>
              </w:rPr>
              <w:t>5</w:t>
            </w:r>
            <w:r>
              <w:rPr>
                <w:rFonts w:hint="eastAsia" w:ascii="宋体" w:hAnsi="宋体" w:cs="Arial Unicode MS"/>
                <w:color w:val="000000"/>
                <w:kern w:val="0"/>
                <w:sz w:val="18"/>
                <w:szCs w:val="18"/>
                <w:highlight w:val="none"/>
              </w:rPr>
              <w:t>分，计算机软件著作权每项加</w:t>
            </w:r>
            <w:r>
              <w:rPr>
                <w:rFonts w:ascii="宋体" w:hAnsi="宋体" w:cs="Arial Unicode MS"/>
                <w:color w:val="000000"/>
                <w:kern w:val="0"/>
                <w:sz w:val="18"/>
                <w:szCs w:val="18"/>
                <w:highlight w:val="none"/>
              </w:rPr>
              <w:t>3</w:t>
            </w:r>
            <w:r>
              <w:rPr>
                <w:rFonts w:hint="eastAsia" w:ascii="宋体" w:hAnsi="宋体" w:cs="Arial Unicode MS"/>
                <w:color w:val="000000"/>
                <w:kern w:val="0"/>
                <w:sz w:val="18"/>
                <w:szCs w:val="18"/>
                <w:highlight w:val="none"/>
              </w:rPr>
              <w:t>分</w:t>
            </w:r>
            <w:r>
              <w:rPr>
                <w:rFonts w:hint="eastAsia" w:ascii="宋体" w:hAnsi="宋体" w:cs="Arial Unicode MS"/>
                <w:color w:val="000000"/>
                <w:kern w:val="0"/>
                <w:sz w:val="18"/>
                <w:szCs w:val="18"/>
                <w:highlight w:val="none"/>
                <w:lang w:eastAsia="zh-CN"/>
              </w:rPr>
              <w:t>。</w:t>
            </w:r>
          </w:p>
        </w:tc>
      </w:tr>
      <w:tr w14:paraId="374D9FCB">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416AC8E9">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6A7A3B52">
            <w:pPr>
              <w:widowControl/>
              <w:jc w:val="center"/>
              <w:rPr>
                <w:rFonts w:ascii="宋体" w:hAnsi="宋体" w:cs="宋体"/>
                <w:color w:val="000000"/>
                <w:kern w:val="0"/>
                <w:sz w:val="18"/>
                <w:szCs w:val="18"/>
                <w:highlight w:val="none"/>
              </w:rPr>
            </w:pPr>
          </w:p>
        </w:tc>
        <w:tc>
          <w:tcPr>
            <w:tcW w:w="12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BE520C">
            <w:pPr>
              <w:widowControl/>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四新技术</w:t>
            </w:r>
          </w:p>
          <w:p w14:paraId="613BA93A">
            <w:pPr>
              <w:widowControl/>
              <w:jc w:val="center"/>
              <w:rPr>
                <w:rFonts w:hint="default"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应用</w:t>
            </w:r>
          </w:p>
        </w:tc>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272E9E">
            <w:pPr>
              <w:widowControl/>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10</w:t>
            </w:r>
            <w:r>
              <w:rPr>
                <w:rFonts w:hint="eastAsia" w:ascii="宋体" w:hAnsi="宋体" w:cs="宋体"/>
                <w:color w:val="000000"/>
                <w:kern w:val="0"/>
                <w:sz w:val="18"/>
                <w:szCs w:val="18"/>
                <w:highlight w:val="none"/>
              </w:rPr>
              <w:t>%</w:t>
            </w:r>
          </w:p>
        </w:tc>
        <w:tc>
          <w:tcPr>
            <w:tcW w:w="28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4ADC8">
            <w:pPr>
              <w:widowControl/>
              <w:jc w:val="left"/>
              <w:rPr>
                <w:rFonts w:hint="default"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考核爱评主体近3年在所申报细分领域装配式工艺、节能环保、绿色施工等方面新材料、新工艺、新技术、新设备的应用情况。</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7BC3163">
            <w:pPr>
              <w:widowControl/>
              <w:jc w:val="left"/>
              <w:rPr>
                <w:rFonts w:hint="default" w:ascii="宋体" w:hAnsi="宋体" w:cs="Arial Unicode MS"/>
                <w:color w:val="000000"/>
                <w:kern w:val="0"/>
                <w:sz w:val="18"/>
                <w:szCs w:val="18"/>
                <w:highlight w:val="none"/>
                <w:lang w:val="en-US"/>
              </w:rPr>
            </w:pPr>
            <w:r>
              <w:rPr>
                <w:rFonts w:hint="eastAsia" w:ascii="宋体" w:hAnsi="宋体" w:cs="宋体"/>
                <w:color w:val="000000"/>
                <w:kern w:val="0"/>
                <w:sz w:val="18"/>
                <w:szCs w:val="18"/>
                <w:highlight w:val="none"/>
              </w:rPr>
              <w:t>本项为加分项，</w:t>
            </w:r>
            <w:r>
              <w:rPr>
                <w:rFonts w:hint="eastAsia" w:ascii="宋体" w:hAnsi="宋体" w:cs="Arial Unicode MS"/>
                <w:color w:val="000000"/>
                <w:kern w:val="0"/>
                <w:sz w:val="18"/>
                <w:szCs w:val="18"/>
                <w:highlight w:val="none"/>
              </w:rPr>
              <w:t>满分</w:t>
            </w:r>
            <w:r>
              <w:rPr>
                <w:rFonts w:hint="eastAsia" w:ascii="宋体" w:hAnsi="宋体" w:cs="Arial Unicode MS"/>
                <w:color w:val="000000"/>
                <w:kern w:val="0"/>
                <w:sz w:val="18"/>
                <w:szCs w:val="18"/>
                <w:highlight w:val="none"/>
                <w:lang w:val="en-US" w:eastAsia="zh-CN"/>
              </w:rPr>
              <w:t>共</w:t>
            </w:r>
            <w:r>
              <w:rPr>
                <w:rFonts w:hint="eastAsia" w:ascii="宋体" w:hAnsi="宋体" w:cs="Arial Unicode MS"/>
                <w:color w:val="000000"/>
                <w:kern w:val="0"/>
                <w:sz w:val="18"/>
                <w:szCs w:val="18"/>
                <w:highlight w:val="none"/>
              </w:rPr>
              <w:t>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rPr>
              <w:t>分</w:t>
            </w:r>
            <w:r>
              <w:rPr>
                <w:rFonts w:hint="eastAsia" w:ascii="宋体" w:hAnsi="宋体" w:cs="Arial Unicode MS"/>
                <w:color w:val="000000"/>
                <w:kern w:val="0"/>
                <w:sz w:val="18"/>
                <w:szCs w:val="18"/>
                <w:highlight w:val="none"/>
                <w:lang w:eastAsia="zh-CN"/>
              </w:rPr>
              <w:t>。</w:t>
            </w:r>
            <w:r>
              <w:rPr>
                <w:rFonts w:hint="eastAsia" w:ascii="宋体" w:hAnsi="宋体" w:cs="Arial Unicode MS"/>
                <w:color w:val="000000"/>
                <w:kern w:val="0"/>
                <w:sz w:val="18"/>
                <w:szCs w:val="18"/>
                <w:highlight w:val="none"/>
                <w:lang w:val="en-US" w:eastAsia="zh-CN"/>
              </w:rPr>
              <w:t>每</w:t>
            </w:r>
            <w:r>
              <w:rPr>
                <w:rFonts w:hint="default" w:ascii="宋体" w:hAnsi="宋体" w:eastAsia="宋体" w:cs="宋体"/>
                <w:color w:val="000000"/>
                <w:kern w:val="0"/>
                <w:sz w:val="18"/>
                <w:szCs w:val="18"/>
                <w:highlight w:val="none"/>
                <w:lang w:val="en-US" w:eastAsia="zh-CN" w:bidi="ar-SA"/>
              </w:rPr>
              <w:t>应用</w:t>
            </w:r>
            <w:r>
              <w:rPr>
                <w:rFonts w:hint="eastAsia" w:ascii="宋体" w:hAnsi="宋体" w:eastAsia="宋体" w:cs="宋体"/>
                <w:color w:val="000000"/>
                <w:kern w:val="0"/>
                <w:sz w:val="18"/>
                <w:szCs w:val="18"/>
                <w:highlight w:val="none"/>
                <w:lang w:val="en-US" w:eastAsia="zh-CN" w:bidi="ar-SA"/>
              </w:rPr>
              <w:t>1</w:t>
            </w:r>
            <w:r>
              <w:rPr>
                <w:rFonts w:hint="default" w:ascii="宋体" w:hAnsi="宋体" w:eastAsia="宋体" w:cs="宋体"/>
                <w:color w:val="000000"/>
                <w:kern w:val="0"/>
                <w:sz w:val="18"/>
                <w:szCs w:val="18"/>
                <w:highlight w:val="none"/>
                <w:lang w:val="en-US" w:eastAsia="zh-CN" w:bidi="ar-SA"/>
              </w:rPr>
              <w:t>项</w:t>
            </w:r>
            <w:r>
              <w:rPr>
                <w:rFonts w:hint="eastAsia" w:ascii="宋体" w:hAnsi="宋体" w:eastAsia="宋体" w:cs="宋体"/>
                <w:color w:val="000000"/>
                <w:kern w:val="0"/>
                <w:sz w:val="18"/>
                <w:szCs w:val="18"/>
                <w:highlight w:val="none"/>
                <w:lang w:val="en-US" w:eastAsia="zh-CN" w:bidi="ar-SA"/>
              </w:rPr>
              <w:t>，并提供</w:t>
            </w:r>
            <w:r>
              <w:rPr>
                <w:rFonts w:hint="default" w:ascii="宋体" w:hAnsi="宋体" w:eastAsia="宋体" w:cs="宋体"/>
                <w:color w:val="000000"/>
                <w:kern w:val="0"/>
                <w:sz w:val="18"/>
                <w:szCs w:val="18"/>
                <w:highlight w:val="none"/>
                <w:lang w:val="en-US" w:eastAsia="zh-CN" w:bidi="ar-SA"/>
              </w:rPr>
              <w:t>应用简介</w:t>
            </w:r>
            <w:r>
              <w:rPr>
                <w:rFonts w:hint="eastAsia" w:ascii="宋体" w:hAnsi="宋体" w:eastAsia="宋体" w:cs="宋体"/>
                <w:color w:val="000000"/>
                <w:kern w:val="0"/>
                <w:sz w:val="18"/>
                <w:szCs w:val="18"/>
                <w:highlight w:val="none"/>
                <w:lang w:val="en-US" w:eastAsia="zh-CN" w:bidi="ar-SA"/>
              </w:rPr>
              <w:t>和应用证明</w:t>
            </w:r>
            <w:r>
              <w:rPr>
                <w:rFonts w:hint="default" w:ascii="宋体" w:hAnsi="宋体" w:eastAsia="宋体" w:cs="宋体"/>
                <w:color w:val="000000"/>
                <w:kern w:val="0"/>
                <w:sz w:val="18"/>
                <w:szCs w:val="18"/>
                <w:highlight w:val="none"/>
                <w:lang w:val="en-US" w:eastAsia="zh-CN" w:bidi="ar-SA"/>
              </w:rPr>
              <w:t>，</w:t>
            </w:r>
            <w:r>
              <w:rPr>
                <w:rFonts w:hint="eastAsia" w:ascii="宋体" w:hAnsi="宋体" w:eastAsia="宋体" w:cs="宋体"/>
                <w:color w:val="000000"/>
                <w:kern w:val="0"/>
                <w:sz w:val="18"/>
                <w:szCs w:val="18"/>
                <w:highlight w:val="none"/>
                <w:lang w:val="en-US" w:eastAsia="zh-CN" w:bidi="ar-SA"/>
              </w:rPr>
              <w:t>加5</w:t>
            </w:r>
            <w:r>
              <w:rPr>
                <w:rFonts w:hint="default" w:ascii="宋体" w:hAnsi="宋体" w:eastAsia="宋体" w:cs="宋体"/>
                <w:color w:val="000000"/>
                <w:kern w:val="0"/>
                <w:sz w:val="18"/>
                <w:szCs w:val="18"/>
                <w:highlight w:val="none"/>
                <w:lang w:val="en-US" w:eastAsia="zh-CN" w:bidi="ar-SA"/>
              </w:rPr>
              <w:t>分</w:t>
            </w:r>
            <w:r>
              <w:rPr>
                <w:rFonts w:hint="eastAsia" w:ascii="宋体" w:hAnsi="宋体" w:eastAsia="宋体" w:cs="宋体"/>
                <w:color w:val="000000"/>
                <w:kern w:val="0"/>
                <w:sz w:val="18"/>
                <w:szCs w:val="18"/>
                <w:highlight w:val="none"/>
                <w:lang w:val="en-US" w:eastAsia="zh-CN" w:bidi="ar-SA"/>
              </w:rPr>
              <w:t>。</w:t>
            </w:r>
          </w:p>
        </w:tc>
      </w:tr>
      <w:tr w14:paraId="2C281DF9">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00B49A42">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1CCAC193">
            <w:pPr>
              <w:widowControl/>
              <w:jc w:val="center"/>
              <w:rPr>
                <w:rFonts w:ascii="宋体" w:hAnsi="宋体" w:cs="宋体"/>
                <w:color w:val="000000"/>
                <w:kern w:val="0"/>
                <w:sz w:val="18"/>
                <w:szCs w:val="18"/>
                <w:highlight w:val="none"/>
              </w:rPr>
            </w:pPr>
          </w:p>
        </w:tc>
        <w:tc>
          <w:tcPr>
            <w:tcW w:w="12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30FF41">
            <w:pPr>
              <w:widowControl/>
              <w:jc w:val="center"/>
              <w:rPr>
                <w:rFonts w:hint="default" w:ascii="宋体" w:hAnsi="宋体" w:eastAsia="宋体" w:cs="宋体"/>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质量创优</w:t>
            </w:r>
          </w:p>
        </w:tc>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3EF8CA">
            <w:pPr>
              <w:widowControl/>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15</w:t>
            </w:r>
            <w:r>
              <w:rPr>
                <w:rFonts w:hint="eastAsia" w:ascii="宋体" w:hAnsi="宋体" w:cs="宋体"/>
                <w:color w:val="000000"/>
                <w:kern w:val="0"/>
                <w:sz w:val="18"/>
                <w:szCs w:val="18"/>
                <w:highlight w:val="none"/>
              </w:rPr>
              <w:t>%</w:t>
            </w:r>
          </w:p>
        </w:tc>
        <w:tc>
          <w:tcPr>
            <w:tcW w:w="28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73E9BC">
            <w:pPr>
              <w:widowControl/>
              <w:jc w:val="left"/>
              <w:rPr>
                <w:rFonts w:hint="default" w:ascii="宋体" w:hAnsi="宋体" w:eastAsia="宋体" w:cs="宋体"/>
                <w:color w:val="000000"/>
                <w:kern w:val="0"/>
                <w:sz w:val="18"/>
                <w:szCs w:val="18"/>
                <w:highlight w:val="none"/>
                <w:lang w:val="en-US" w:eastAsia="zh-CN" w:bidi="ar-SA"/>
              </w:rPr>
            </w:pPr>
            <w:r>
              <w:rPr>
                <w:rFonts w:hint="eastAsia" w:ascii="宋体" w:hAnsi="宋体" w:cs="宋体"/>
                <w:color w:val="000000"/>
                <w:kern w:val="0"/>
                <w:sz w:val="18"/>
                <w:szCs w:val="18"/>
                <w:highlight w:val="none"/>
                <w:lang w:eastAsia="zh-CN"/>
              </w:rPr>
              <w:t>考核受评主体</w:t>
            </w:r>
            <w:r>
              <w:rPr>
                <w:rFonts w:hint="eastAsia" w:ascii="宋体" w:hAnsi="宋体" w:cs="宋体"/>
                <w:color w:val="000000"/>
                <w:kern w:val="0"/>
                <w:sz w:val="18"/>
                <w:szCs w:val="18"/>
                <w:highlight w:val="none"/>
                <w:lang w:val="en-US" w:eastAsia="zh-CN"/>
              </w:rPr>
              <w:t>工程</w:t>
            </w:r>
            <w:r>
              <w:rPr>
                <w:rFonts w:hint="eastAsia" w:ascii="宋体" w:hAnsi="宋体" w:cs="宋体"/>
                <w:color w:val="000000"/>
                <w:kern w:val="0"/>
                <w:sz w:val="18"/>
                <w:szCs w:val="18"/>
                <w:highlight w:val="none"/>
                <w:lang w:eastAsia="zh-CN"/>
              </w:rPr>
              <w:t>质量水平，通过外部评价考核</w:t>
            </w:r>
            <w:r>
              <w:rPr>
                <w:rFonts w:hint="eastAsia" w:ascii="宋体" w:hAnsi="宋体" w:cs="宋体"/>
                <w:color w:val="000000"/>
                <w:kern w:val="0"/>
                <w:sz w:val="18"/>
                <w:szCs w:val="18"/>
                <w:highlight w:val="none"/>
                <w:lang w:val="en-US" w:eastAsia="zh-CN"/>
              </w:rPr>
              <w:t>近3年内所获省级以上质量奖项。</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D57DEE">
            <w:pPr>
              <w:widowControl/>
              <w:jc w:val="left"/>
              <w:rPr>
                <w:rFonts w:hint="eastAsia" w:ascii="宋体" w:hAnsi="宋体" w:cs="Arial Unicode MS"/>
                <w:color w:val="000000"/>
                <w:kern w:val="0"/>
                <w:sz w:val="18"/>
                <w:szCs w:val="18"/>
                <w:highlight w:val="none"/>
              </w:rPr>
            </w:pPr>
            <w:r>
              <w:rPr>
                <w:rFonts w:hint="eastAsia" w:ascii="宋体" w:hAnsi="宋体" w:cs="宋体"/>
                <w:color w:val="000000"/>
                <w:kern w:val="0"/>
                <w:sz w:val="18"/>
                <w:szCs w:val="18"/>
                <w:highlight w:val="none"/>
              </w:rPr>
              <w:t>本项为加分项，</w:t>
            </w:r>
            <w:r>
              <w:rPr>
                <w:rFonts w:hint="eastAsia" w:ascii="宋体" w:hAnsi="宋体" w:cs="Arial Unicode MS"/>
                <w:color w:val="000000"/>
                <w:kern w:val="0"/>
                <w:sz w:val="18"/>
                <w:szCs w:val="18"/>
                <w:highlight w:val="none"/>
              </w:rPr>
              <w:t>满分</w:t>
            </w:r>
            <w:r>
              <w:rPr>
                <w:rFonts w:hint="eastAsia" w:ascii="宋体" w:hAnsi="宋体" w:cs="Arial Unicode MS"/>
                <w:color w:val="000000"/>
                <w:kern w:val="0"/>
                <w:sz w:val="18"/>
                <w:szCs w:val="18"/>
                <w:highlight w:val="none"/>
                <w:lang w:val="en-US" w:eastAsia="zh-CN"/>
              </w:rPr>
              <w:t>共</w:t>
            </w:r>
            <w:r>
              <w:rPr>
                <w:rFonts w:hint="eastAsia" w:ascii="宋体" w:hAnsi="宋体" w:cs="Arial Unicode MS"/>
                <w:color w:val="000000"/>
                <w:kern w:val="0"/>
                <w:sz w:val="18"/>
                <w:szCs w:val="18"/>
                <w:highlight w:val="none"/>
              </w:rPr>
              <w:t>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rPr>
              <w:t>分</w:t>
            </w:r>
            <w:r>
              <w:rPr>
                <w:rFonts w:hint="eastAsia" w:ascii="宋体" w:hAnsi="宋体" w:cs="Arial Unicode MS"/>
                <w:color w:val="000000"/>
                <w:kern w:val="0"/>
                <w:sz w:val="18"/>
                <w:szCs w:val="18"/>
                <w:highlight w:val="none"/>
                <w:lang w:eastAsia="zh-CN"/>
              </w:rPr>
              <w:t>。</w:t>
            </w:r>
            <w:r>
              <w:rPr>
                <w:rFonts w:hint="eastAsia" w:ascii="宋体" w:hAnsi="宋体" w:cs="宋体"/>
                <w:color w:val="000000"/>
                <w:kern w:val="0"/>
                <w:sz w:val="18"/>
                <w:szCs w:val="18"/>
                <w:highlight w:val="none"/>
                <w:lang w:val="en-US" w:eastAsia="zh-CN"/>
              </w:rPr>
              <w:t>中国建筑工程装饰奖每项加50分，“三晋杯”建筑装饰奖每项加20分。</w:t>
            </w:r>
          </w:p>
        </w:tc>
      </w:tr>
      <w:tr w14:paraId="284A7C09">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33138F9D">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399F652B">
            <w:pPr>
              <w:widowControl/>
              <w:jc w:val="center"/>
              <w:rPr>
                <w:rFonts w:ascii="宋体" w:hAnsi="宋体" w:cs="宋体"/>
                <w:color w:val="000000"/>
                <w:kern w:val="0"/>
                <w:sz w:val="18"/>
                <w:szCs w:val="18"/>
                <w:highlight w:val="none"/>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14:paraId="494D97EF">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合同额</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0C214357">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25%</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5B7AF49C">
            <w:pPr>
              <w:widowControl/>
              <w:jc w:val="left"/>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考核受评主体在同类企业中的合同额排名情况。</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47C118E">
            <w:pPr>
              <w:widowControl/>
              <w:jc w:val="left"/>
              <w:rPr>
                <w:rFonts w:hint="default" w:ascii="宋体" w:hAnsi="宋体" w:cs="Arial Unicode MS" w:eastAsiaTheme="minorEastAsia"/>
                <w:color w:val="000000"/>
                <w:kern w:val="0"/>
                <w:sz w:val="18"/>
                <w:szCs w:val="18"/>
                <w:highlight w:val="none"/>
                <w:lang w:val="en-US" w:eastAsia="zh-CN"/>
              </w:rPr>
            </w:pPr>
            <w:r>
              <w:rPr>
                <w:rFonts w:hint="eastAsia" w:ascii="宋体" w:hAnsi="宋体" w:cs="Arial Unicode MS"/>
                <w:color w:val="000000"/>
                <w:kern w:val="0"/>
                <w:sz w:val="18"/>
                <w:szCs w:val="18"/>
                <w:highlight w:val="none"/>
                <w:lang w:val="en-US" w:eastAsia="zh-CN"/>
              </w:rPr>
              <w:t>将当年所申报细分领域企业近3年合同总额进行排序，第一名得100分，最后一名得60分，其间企业按差值法计算得分。</w:t>
            </w:r>
          </w:p>
        </w:tc>
      </w:tr>
      <w:tr w14:paraId="7999D817">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3ABACF6E">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5D82BFC7">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right w:val="single" w:color="auto" w:sz="4" w:space="0"/>
            </w:tcBorders>
            <w:shd w:val="clear" w:color="auto" w:fill="auto"/>
            <w:noWrap w:val="0"/>
            <w:vAlign w:val="center"/>
          </w:tcPr>
          <w:p w14:paraId="7C8D02FF">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纳税记录</w:t>
            </w:r>
          </w:p>
        </w:tc>
        <w:tc>
          <w:tcPr>
            <w:tcW w:w="846" w:type="dxa"/>
            <w:vMerge w:val="restart"/>
            <w:tcBorders>
              <w:top w:val="single" w:color="auto" w:sz="4" w:space="0"/>
              <w:left w:val="single" w:color="auto" w:sz="4" w:space="0"/>
              <w:right w:val="single" w:color="auto" w:sz="4" w:space="0"/>
            </w:tcBorders>
            <w:shd w:val="clear" w:color="auto" w:fill="auto"/>
            <w:noWrap w:val="0"/>
            <w:vAlign w:val="center"/>
          </w:tcPr>
          <w:p w14:paraId="01ADE379">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15</w:t>
            </w:r>
            <w:r>
              <w:rPr>
                <w:rFonts w:hint="eastAsia" w:ascii="宋体" w:hAnsi="宋体" w:cs="宋体"/>
                <w:color w:val="000000"/>
                <w:kern w:val="0"/>
                <w:sz w:val="18"/>
                <w:szCs w:val="18"/>
                <w:highlight w:val="none"/>
              </w:rPr>
              <w:t>%</w:t>
            </w:r>
          </w:p>
        </w:tc>
        <w:tc>
          <w:tcPr>
            <w:tcW w:w="2813" w:type="dxa"/>
            <w:vMerge w:val="restart"/>
            <w:tcBorders>
              <w:top w:val="single" w:color="auto" w:sz="4" w:space="0"/>
              <w:left w:val="single" w:color="auto" w:sz="4" w:space="0"/>
              <w:right w:val="single" w:color="auto" w:sz="4" w:space="0"/>
            </w:tcBorders>
            <w:shd w:val="clear" w:color="auto" w:fill="auto"/>
            <w:noWrap w:val="0"/>
            <w:vAlign w:val="center"/>
          </w:tcPr>
          <w:p w14:paraId="2D0780EA">
            <w:pPr>
              <w:widowControl/>
              <w:jc w:val="left"/>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考核</w:t>
            </w:r>
            <w:r>
              <w:rPr>
                <w:rFonts w:hint="eastAsia" w:ascii="宋体" w:hAnsi="宋体" w:cs="宋体"/>
                <w:color w:val="000000"/>
                <w:kern w:val="0"/>
                <w:sz w:val="18"/>
                <w:szCs w:val="18"/>
                <w:highlight w:val="none"/>
              </w:rPr>
              <w:t>企业近</w:t>
            </w: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年是否存在欠税记录。</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A7B046">
            <w:pPr>
              <w:widowControl/>
              <w:jc w:val="center"/>
              <w:rPr>
                <w:rFonts w:hint="eastAsia"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近三年欠税记录</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2BC3F4">
            <w:pPr>
              <w:widowControl/>
              <w:jc w:val="center"/>
              <w:rPr>
                <w:rFonts w:hint="eastAsia"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得分</w:t>
            </w:r>
          </w:p>
        </w:tc>
      </w:tr>
      <w:tr w14:paraId="1E9A38B0">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139DB836">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68DBB5DE">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427854FA">
            <w:pPr>
              <w:widowControl/>
              <w:jc w:val="center"/>
              <w:rPr>
                <w:rFonts w:ascii="宋体" w:hAnsi="宋体" w:cs="宋体"/>
                <w:color w:val="000000"/>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21C6A020">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42A18077">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637A5">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不存在</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D99904">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100</w:t>
            </w:r>
          </w:p>
        </w:tc>
      </w:tr>
      <w:tr w14:paraId="546CB194">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02E2CCE3">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7E7FFA00">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bottom w:val="single" w:color="auto" w:sz="4" w:space="0"/>
              <w:right w:val="single" w:color="auto" w:sz="4" w:space="0"/>
            </w:tcBorders>
            <w:noWrap w:val="0"/>
            <w:vAlign w:val="center"/>
          </w:tcPr>
          <w:p w14:paraId="7CDFA755">
            <w:pPr>
              <w:widowControl/>
              <w:jc w:val="center"/>
              <w:rPr>
                <w:rFonts w:ascii="宋体" w:hAnsi="宋体" w:cs="宋体"/>
                <w:color w:val="000000"/>
                <w:kern w:val="0"/>
                <w:sz w:val="18"/>
                <w:szCs w:val="18"/>
                <w:highlight w:val="none"/>
              </w:rPr>
            </w:pPr>
          </w:p>
        </w:tc>
        <w:tc>
          <w:tcPr>
            <w:tcW w:w="846" w:type="dxa"/>
            <w:vMerge w:val="continue"/>
            <w:tcBorders>
              <w:left w:val="single" w:color="auto" w:sz="4" w:space="0"/>
              <w:bottom w:val="single" w:color="auto" w:sz="4" w:space="0"/>
              <w:right w:val="single" w:color="auto" w:sz="4" w:space="0"/>
            </w:tcBorders>
            <w:noWrap w:val="0"/>
            <w:vAlign w:val="center"/>
          </w:tcPr>
          <w:p w14:paraId="142087A2">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bottom w:val="single" w:color="auto" w:sz="4" w:space="0"/>
              <w:right w:val="single" w:color="auto" w:sz="4" w:space="0"/>
            </w:tcBorders>
            <w:noWrap w:val="0"/>
            <w:vAlign w:val="center"/>
          </w:tcPr>
          <w:p w14:paraId="18730EFF">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1DD241">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存在</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8A395C">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0</w:t>
            </w:r>
          </w:p>
        </w:tc>
      </w:tr>
      <w:tr w14:paraId="02B224C4">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70C7C465">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2A98C3F9">
            <w:pPr>
              <w:widowControl/>
              <w:jc w:val="center"/>
              <w:rPr>
                <w:rFonts w:ascii="宋体" w:hAnsi="宋体" w:cs="宋体"/>
                <w:color w:val="000000"/>
                <w:kern w:val="0"/>
                <w:sz w:val="18"/>
                <w:szCs w:val="18"/>
                <w:highlight w:val="none"/>
              </w:rPr>
            </w:pPr>
          </w:p>
        </w:tc>
        <w:tc>
          <w:tcPr>
            <w:tcW w:w="12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32C1BC">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奖励信息</w:t>
            </w:r>
          </w:p>
        </w:tc>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2C29AF">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10</w:t>
            </w:r>
            <w:r>
              <w:rPr>
                <w:rFonts w:hint="eastAsia" w:ascii="宋体" w:hAnsi="宋体" w:cs="宋体"/>
                <w:color w:val="000000"/>
                <w:kern w:val="0"/>
                <w:sz w:val="18"/>
                <w:szCs w:val="18"/>
                <w:highlight w:val="none"/>
              </w:rPr>
              <w:t>%</w:t>
            </w:r>
          </w:p>
        </w:tc>
        <w:tc>
          <w:tcPr>
            <w:tcW w:w="28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486A89">
            <w:pPr>
              <w:widowControl/>
              <w:jc w:val="left"/>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考核</w:t>
            </w:r>
            <w:r>
              <w:rPr>
                <w:rFonts w:hint="eastAsia" w:ascii="宋体" w:hAnsi="宋体" w:cs="宋体"/>
                <w:color w:val="000000"/>
                <w:kern w:val="0"/>
                <w:sz w:val="18"/>
                <w:szCs w:val="18"/>
                <w:highlight w:val="none"/>
              </w:rPr>
              <w:t>企业近</w:t>
            </w: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年企业来自政府机构、行业协会的荣誉、奖励信息。</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46965A">
            <w:pPr>
              <w:widowControl/>
              <w:jc w:val="center"/>
              <w:rPr>
                <w:rFonts w:hint="eastAsia"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本项为加分项，每项荣誉/奖励信息加2</w:t>
            </w:r>
            <w:r>
              <w:rPr>
                <w:rFonts w:ascii="宋体" w:hAnsi="宋体" w:cs="Arial Unicode MS"/>
                <w:color w:val="000000"/>
                <w:kern w:val="0"/>
                <w:sz w:val="18"/>
                <w:szCs w:val="18"/>
                <w:highlight w:val="none"/>
              </w:rPr>
              <w:t>0</w:t>
            </w:r>
            <w:r>
              <w:rPr>
                <w:rFonts w:hint="eastAsia" w:ascii="宋体" w:hAnsi="宋体" w:cs="Arial Unicode MS"/>
                <w:color w:val="000000"/>
                <w:kern w:val="0"/>
                <w:sz w:val="18"/>
                <w:szCs w:val="18"/>
                <w:highlight w:val="none"/>
              </w:rPr>
              <w:t>分，满分1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rPr>
              <w:t>分</w:t>
            </w:r>
          </w:p>
        </w:tc>
      </w:tr>
      <w:tr w14:paraId="09680197">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45C7AA63">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5480C27C">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right w:val="single" w:color="auto" w:sz="4" w:space="0"/>
            </w:tcBorders>
            <w:shd w:val="clear" w:color="auto" w:fill="auto"/>
            <w:noWrap w:val="0"/>
            <w:vAlign w:val="center"/>
          </w:tcPr>
          <w:p w14:paraId="2DFCEA03">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诚信公约</w:t>
            </w:r>
          </w:p>
        </w:tc>
        <w:tc>
          <w:tcPr>
            <w:tcW w:w="846" w:type="dxa"/>
            <w:vMerge w:val="restart"/>
            <w:tcBorders>
              <w:top w:val="single" w:color="auto" w:sz="4" w:space="0"/>
              <w:left w:val="single" w:color="auto" w:sz="4" w:space="0"/>
              <w:right w:val="single" w:color="auto" w:sz="4" w:space="0"/>
            </w:tcBorders>
            <w:shd w:val="clear" w:color="auto" w:fill="auto"/>
            <w:noWrap w:val="0"/>
            <w:vAlign w:val="center"/>
          </w:tcPr>
          <w:p w14:paraId="77E439E6">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5%</w:t>
            </w:r>
          </w:p>
        </w:tc>
        <w:tc>
          <w:tcPr>
            <w:tcW w:w="2813" w:type="dxa"/>
            <w:vMerge w:val="restart"/>
            <w:tcBorders>
              <w:top w:val="single" w:color="auto" w:sz="4" w:space="0"/>
              <w:left w:val="single" w:color="auto" w:sz="4" w:space="0"/>
              <w:right w:val="single" w:color="auto" w:sz="4" w:space="0"/>
            </w:tcBorders>
            <w:shd w:val="clear" w:color="auto" w:fill="auto"/>
            <w:noWrap w:val="0"/>
            <w:vAlign w:val="center"/>
          </w:tcPr>
          <w:p w14:paraId="457F59FA">
            <w:pPr>
              <w:widowControl/>
              <w:jc w:val="left"/>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考核</w:t>
            </w:r>
            <w:r>
              <w:rPr>
                <w:rFonts w:hint="eastAsia" w:ascii="宋体" w:hAnsi="宋体" w:cs="宋体"/>
                <w:color w:val="000000"/>
                <w:kern w:val="0"/>
                <w:sz w:val="18"/>
                <w:szCs w:val="18"/>
                <w:highlight w:val="none"/>
              </w:rPr>
              <w:t>企业</w:t>
            </w:r>
            <w:r>
              <w:rPr>
                <w:rFonts w:hint="eastAsia" w:ascii="宋体" w:hAnsi="宋体" w:cs="宋体"/>
                <w:color w:val="000000"/>
                <w:kern w:val="0"/>
                <w:sz w:val="18"/>
                <w:szCs w:val="18"/>
                <w:highlight w:val="none"/>
                <w:lang w:val="en-US" w:eastAsia="zh-CN"/>
              </w:rPr>
              <w:t>是否签署诚信公约。</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022559">
            <w:pPr>
              <w:widowControl/>
              <w:jc w:val="center"/>
              <w:rPr>
                <w:rFonts w:hint="default"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lang w:val="en-US" w:eastAsia="zh-CN"/>
              </w:rPr>
              <w:t>是否签署诚信公约</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6C3DA5">
            <w:pPr>
              <w:widowControl/>
              <w:jc w:val="center"/>
              <w:rPr>
                <w:rFonts w:hint="eastAsia"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得分</w:t>
            </w:r>
          </w:p>
        </w:tc>
      </w:tr>
      <w:tr w14:paraId="74CD13B0">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0D79E86F">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5645B42A">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right w:val="single" w:color="auto" w:sz="4" w:space="0"/>
            </w:tcBorders>
            <w:shd w:val="clear" w:color="auto" w:fill="auto"/>
            <w:noWrap w:val="0"/>
            <w:vAlign w:val="center"/>
          </w:tcPr>
          <w:p w14:paraId="5A9D5E2F">
            <w:pPr>
              <w:widowControl/>
              <w:jc w:val="center"/>
              <w:rPr>
                <w:rFonts w:hint="eastAsia" w:ascii="宋体" w:hAnsi="宋体" w:cs="宋体"/>
                <w:color w:val="000000"/>
                <w:kern w:val="0"/>
                <w:sz w:val="18"/>
                <w:szCs w:val="18"/>
                <w:highlight w:val="none"/>
                <w:lang w:val="en-US" w:eastAsia="zh-CN"/>
              </w:rPr>
            </w:pPr>
          </w:p>
        </w:tc>
        <w:tc>
          <w:tcPr>
            <w:tcW w:w="846" w:type="dxa"/>
            <w:vMerge w:val="continue"/>
            <w:tcBorders>
              <w:left w:val="single" w:color="auto" w:sz="4" w:space="0"/>
              <w:right w:val="single" w:color="auto" w:sz="4" w:space="0"/>
            </w:tcBorders>
            <w:shd w:val="clear" w:color="auto" w:fill="auto"/>
            <w:noWrap w:val="0"/>
            <w:vAlign w:val="center"/>
          </w:tcPr>
          <w:p w14:paraId="13F8F0CF">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right w:val="single" w:color="auto" w:sz="4" w:space="0"/>
            </w:tcBorders>
            <w:shd w:val="clear" w:color="auto" w:fill="auto"/>
            <w:noWrap w:val="0"/>
            <w:vAlign w:val="center"/>
          </w:tcPr>
          <w:p w14:paraId="4988BC4F">
            <w:pPr>
              <w:widowControl/>
              <w:jc w:val="left"/>
              <w:rPr>
                <w:rFonts w:hint="eastAsia" w:ascii="宋体" w:hAnsi="宋体" w:cs="宋体"/>
                <w:color w:val="000000"/>
                <w:kern w:val="0"/>
                <w:sz w:val="18"/>
                <w:szCs w:val="18"/>
                <w:highlight w:val="none"/>
                <w:lang w:val="en-US" w:eastAsia="zh-CN"/>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614957">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lang w:val="en-US" w:eastAsia="zh-CN"/>
              </w:rPr>
              <w:t>是</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999542">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100</w:t>
            </w:r>
          </w:p>
        </w:tc>
      </w:tr>
      <w:tr w14:paraId="3FADF732">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1984F58E">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3B4FFE55">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bottom w:val="single" w:color="auto" w:sz="4" w:space="0"/>
              <w:right w:val="single" w:color="auto" w:sz="4" w:space="0"/>
            </w:tcBorders>
            <w:shd w:val="clear" w:color="auto" w:fill="auto"/>
            <w:noWrap w:val="0"/>
            <w:vAlign w:val="center"/>
          </w:tcPr>
          <w:p w14:paraId="0776BAD5">
            <w:pPr>
              <w:widowControl/>
              <w:jc w:val="center"/>
              <w:rPr>
                <w:rFonts w:hint="eastAsia" w:ascii="宋体" w:hAnsi="宋体" w:cs="宋体"/>
                <w:color w:val="000000"/>
                <w:kern w:val="0"/>
                <w:sz w:val="18"/>
                <w:szCs w:val="18"/>
                <w:highlight w:val="none"/>
                <w:lang w:val="en-US" w:eastAsia="zh-CN"/>
              </w:rPr>
            </w:pPr>
          </w:p>
        </w:tc>
        <w:tc>
          <w:tcPr>
            <w:tcW w:w="846" w:type="dxa"/>
            <w:vMerge w:val="continue"/>
            <w:tcBorders>
              <w:left w:val="single" w:color="auto" w:sz="4" w:space="0"/>
              <w:bottom w:val="single" w:color="auto" w:sz="4" w:space="0"/>
              <w:right w:val="single" w:color="auto" w:sz="4" w:space="0"/>
            </w:tcBorders>
            <w:shd w:val="clear" w:color="auto" w:fill="auto"/>
            <w:noWrap w:val="0"/>
            <w:vAlign w:val="center"/>
          </w:tcPr>
          <w:p w14:paraId="7A4BD122">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bottom w:val="single" w:color="auto" w:sz="4" w:space="0"/>
              <w:right w:val="single" w:color="auto" w:sz="4" w:space="0"/>
            </w:tcBorders>
            <w:shd w:val="clear" w:color="auto" w:fill="auto"/>
            <w:noWrap w:val="0"/>
            <w:vAlign w:val="center"/>
          </w:tcPr>
          <w:p w14:paraId="7A42DF0E">
            <w:pPr>
              <w:widowControl/>
              <w:jc w:val="left"/>
              <w:rPr>
                <w:rFonts w:hint="eastAsia" w:ascii="宋体" w:hAnsi="宋体" w:cs="宋体"/>
                <w:color w:val="000000"/>
                <w:kern w:val="0"/>
                <w:sz w:val="18"/>
                <w:szCs w:val="18"/>
                <w:highlight w:val="none"/>
                <w:lang w:val="en-US" w:eastAsia="zh-CN"/>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3D3FBE">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lang w:val="en-US" w:eastAsia="zh-CN"/>
              </w:rPr>
              <w:t>否</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0F381D">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0</w:t>
            </w:r>
          </w:p>
        </w:tc>
      </w:tr>
      <w:tr w14:paraId="46591838">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03E74CD7">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77980195">
            <w:pPr>
              <w:widowControl/>
              <w:jc w:val="center"/>
              <w:rPr>
                <w:rFonts w:ascii="宋体" w:hAnsi="宋体" w:cs="宋体"/>
                <w:color w:val="000000"/>
                <w:kern w:val="0"/>
                <w:sz w:val="18"/>
                <w:szCs w:val="18"/>
                <w:highlight w:val="none"/>
              </w:rPr>
            </w:pPr>
          </w:p>
        </w:tc>
        <w:tc>
          <w:tcPr>
            <w:tcW w:w="1263" w:type="dxa"/>
            <w:vMerge w:val="restart"/>
            <w:tcBorders>
              <w:top w:val="single" w:color="auto" w:sz="4" w:space="0"/>
              <w:left w:val="single" w:color="auto" w:sz="4" w:space="0"/>
              <w:right w:val="single" w:color="auto" w:sz="4" w:space="0"/>
            </w:tcBorders>
            <w:shd w:val="clear" w:color="auto" w:fill="auto"/>
            <w:noWrap w:val="0"/>
            <w:vAlign w:val="center"/>
          </w:tcPr>
          <w:p w14:paraId="42B9B202">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社会公益</w:t>
            </w:r>
          </w:p>
        </w:tc>
        <w:tc>
          <w:tcPr>
            <w:tcW w:w="846" w:type="dxa"/>
            <w:vMerge w:val="restart"/>
            <w:tcBorders>
              <w:top w:val="single" w:color="auto" w:sz="4" w:space="0"/>
              <w:left w:val="single" w:color="auto" w:sz="4" w:space="0"/>
              <w:right w:val="single" w:color="auto" w:sz="4" w:space="0"/>
            </w:tcBorders>
            <w:shd w:val="clear" w:color="auto" w:fill="auto"/>
            <w:noWrap w:val="0"/>
            <w:vAlign w:val="center"/>
          </w:tcPr>
          <w:p w14:paraId="01521278">
            <w:pPr>
              <w:widowControl/>
              <w:jc w:val="center"/>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5</w:t>
            </w:r>
            <w:r>
              <w:rPr>
                <w:rFonts w:hint="eastAsia" w:ascii="宋体" w:hAnsi="宋体" w:cs="宋体"/>
                <w:color w:val="000000"/>
                <w:kern w:val="0"/>
                <w:sz w:val="18"/>
                <w:szCs w:val="18"/>
                <w:highlight w:val="none"/>
              </w:rPr>
              <w:t>%</w:t>
            </w:r>
          </w:p>
        </w:tc>
        <w:tc>
          <w:tcPr>
            <w:tcW w:w="2813" w:type="dxa"/>
            <w:vMerge w:val="restart"/>
            <w:tcBorders>
              <w:top w:val="single" w:color="auto" w:sz="4" w:space="0"/>
              <w:left w:val="single" w:color="auto" w:sz="4" w:space="0"/>
              <w:right w:val="single" w:color="auto" w:sz="4" w:space="0"/>
            </w:tcBorders>
            <w:shd w:val="clear" w:color="auto" w:fill="auto"/>
            <w:noWrap w:val="0"/>
            <w:vAlign w:val="center"/>
          </w:tcPr>
          <w:p w14:paraId="4934E474">
            <w:pPr>
              <w:widowControl/>
              <w:jc w:val="left"/>
              <w:rPr>
                <w:rFonts w:hint="eastAsia"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近</w:t>
            </w: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年企业参与、组织社会公益活动、捐助等记录。</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14363A">
            <w:pPr>
              <w:widowControl/>
              <w:jc w:val="center"/>
              <w:rPr>
                <w:rFonts w:hint="eastAsia"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社会公益记录</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897CA2">
            <w:pPr>
              <w:widowControl/>
              <w:jc w:val="center"/>
              <w:rPr>
                <w:rFonts w:hint="eastAsia" w:ascii="宋体" w:hAnsi="宋体" w:cs="Arial Unicode MS" w:eastAsiaTheme="minorEastAsia"/>
                <w:b/>
                <w:bCs/>
                <w:color w:val="000000"/>
                <w:kern w:val="0"/>
                <w:sz w:val="18"/>
                <w:szCs w:val="18"/>
                <w:highlight w:val="none"/>
                <w:lang w:val="en-US" w:eastAsia="zh-CN" w:bidi="ar-SA"/>
              </w:rPr>
            </w:pPr>
            <w:r>
              <w:rPr>
                <w:rFonts w:hint="eastAsia" w:ascii="宋体" w:hAnsi="宋体" w:cs="Arial Unicode MS"/>
                <w:b/>
                <w:bCs/>
                <w:color w:val="000000"/>
                <w:kern w:val="0"/>
                <w:sz w:val="18"/>
                <w:szCs w:val="18"/>
                <w:highlight w:val="none"/>
              </w:rPr>
              <w:t>得分</w:t>
            </w:r>
          </w:p>
        </w:tc>
      </w:tr>
      <w:tr w14:paraId="2B867ECC">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1F378B08">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16E78ECB">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6897B357">
            <w:pPr>
              <w:widowControl/>
              <w:jc w:val="center"/>
              <w:rPr>
                <w:rFonts w:ascii="宋体" w:hAnsi="宋体" w:cs="宋体"/>
                <w:color w:val="000000"/>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0DA9D196">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542CA669">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91567C">
            <w:pPr>
              <w:widowControl/>
              <w:jc w:val="center"/>
              <w:rPr>
                <w:rFonts w:hint="eastAsia" w:ascii="宋体" w:hAnsi="宋体" w:cs="Arial Unicode MS" w:eastAsiaTheme="minorEastAsia"/>
                <w:color w:val="000000"/>
                <w:kern w:val="0"/>
                <w:sz w:val="18"/>
                <w:szCs w:val="18"/>
                <w:highlight w:val="none"/>
                <w:lang w:val="en-US" w:eastAsia="zh-CN" w:bidi="ar-SA"/>
              </w:rPr>
            </w:pPr>
            <w:r>
              <w:rPr>
                <w:rFonts w:ascii="宋体" w:hAnsi="宋体" w:cs="Arial Unicode MS"/>
                <w:color w:val="000000"/>
                <w:kern w:val="0"/>
                <w:sz w:val="18"/>
                <w:szCs w:val="18"/>
                <w:highlight w:val="none"/>
              </w:rPr>
              <w:t>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0324D">
            <w:pPr>
              <w:widowControl/>
              <w:jc w:val="center"/>
              <w:rPr>
                <w:rFonts w:hint="eastAsia" w:ascii="宋体" w:hAnsi="宋体" w:cs="Arial Unicode MS" w:eastAsiaTheme="minorEastAsia"/>
                <w:color w:val="000000"/>
                <w:kern w:val="0"/>
                <w:sz w:val="18"/>
                <w:szCs w:val="18"/>
                <w:highlight w:val="none"/>
                <w:lang w:val="en-US" w:eastAsia="zh-CN" w:bidi="ar-SA"/>
              </w:rPr>
            </w:pPr>
            <w:r>
              <w:rPr>
                <w:rFonts w:ascii="宋体" w:hAnsi="宋体" w:cs="Arial Unicode MS"/>
                <w:color w:val="000000"/>
                <w:kern w:val="0"/>
                <w:sz w:val="18"/>
                <w:szCs w:val="18"/>
                <w:highlight w:val="none"/>
              </w:rPr>
              <w:t>100</w:t>
            </w:r>
          </w:p>
        </w:tc>
      </w:tr>
      <w:tr w14:paraId="05C75852">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128B7032">
            <w:pPr>
              <w:widowControl/>
              <w:jc w:val="center"/>
              <w:rPr>
                <w:rFonts w:ascii="宋体" w:hAnsi="宋体" w:cs="宋体"/>
                <w:color w:val="000000"/>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50479AAC">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3E305ECC">
            <w:pPr>
              <w:widowControl/>
              <w:jc w:val="center"/>
              <w:rPr>
                <w:rFonts w:ascii="宋体" w:hAnsi="宋体" w:cs="宋体"/>
                <w:color w:val="000000"/>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4962A5A7">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792253A4">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B04181">
            <w:pPr>
              <w:widowControl/>
              <w:jc w:val="center"/>
              <w:rPr>
                <w:rFonts w:hint="eastAsia" w:ascii="宋体" w:hAnsi="宋体" w:cs="Arial Unicode MS" w:eastAsiaTheme="minorEastAsia"/>
                <w:color w:val="000000"/>
                <w:kern w:val="0"/>
                <w:sz w:val="18"/>
                <w:szCs w:val="18"/>
                <w:highlight w:val="none"/>
                <w:lang w:val="en-US" w:eastAsia="zh-CN" w:bidi="ar-SA"/>
              </w:rPr>
            </w:pPr>
            <w:r>
              <w:rPr>
                <w:rFonts w:ascii="宋体" w:hAnsi="宋体" w:cs="Arial Unicode MS"/>
                <w:color w:val="000000"/>
                <w:kern w:val="0"/>
                <w:sz w:val="18"/>
                <w:szCs w:val="18"/>
                <w:highlight w:val="none"/>
              </w:rPr>
              <w:t>[1,2]</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202BFE">
            <w:pPr>
              <w:widowControl/>
              <w:jc w:val="center"/>
              <w:rPr>
                <w:rFonts w:hint="eastAsia" w:ascii="宋体" w:hAnsi="宋体" w:cs="Arial Unicode MS" w:eastAsiaTheme="minorEastAsia"/>
                <w:color w:val="000000"/>
                <w:kern w:val="0"/>
                <w:sz w:val="18"/>
                <w:szCs w:val="18"/>
                <w:highlight w:val="none"/>
                <w:lang w:val="en-US" w:eastAsia="zh-CN" w:bidi="ar-SA"/>
              </w:rPr>
            </w:pPr>
            <w:r>
              <w:rPr>
                <w:rFonts w:ascii="宋体" w:hAnsi="宋体" w:cs="Arial Unicode MS"/>
                <w:color w:val="000000"/>
                <w:kern w:val="0"/>
                <w:sz w:val="18"/>
                <w:szCs w:val="18"/>
                <w:highlight w:val="none"/>
              </w:rPr>
              <w:t>50</w:t>
            </w:r>
          </w:p>
        </w:tc>
      </w:tr>
      <w:tr w14:paraId="14373E28">
        <w:tblPrEx>
          <w:tblCellMar>
            <w:top w:w="0" w:type="dxa"/>
            <w:left w:w="108" w:type="dxa"/>
            <w:bottom w:w="0" w:type="dxa"/>
            <w:right w:w="108" w:type="dxa"/>
          </w:tblCellMar>
        </w:tblPrEx>
        <w:trPr>
          <w:trHeight w:val="415" w:hRule="atLeast"/>
        </w:trPr>
        <w:tc>
          <w:tcPr>
            <w:tcW w:w="1017" w:type="dxa"/>
            <w:vMerge w:val="continue"/>
            <w:tcBorders>
              <w:left w:val="single" w:color="auto" w:sz="4" w:space="0"/>
              <w:bottom w:val="single" w:color="auto" w:sz="4" w:space="0"/>
              <w:right w:val="single" w:color="auto" w:sz="4" w:space="0"/>
            </w:tcBorders>
            <w:noWrap w:val="0"/>
            <w:vAlign w:val="center"/>
          </w:tcPr>
          <w:p w14:paraId="7CFAFDC0">
            <w:pPr>
              <w:widowControl/>
              <w:jc w:val="center"/>
              <w:rPr>
                <w:rFonts w:ascii="宋体" w:hAnsi="宋体" w:cs="宋体"/>
                <w:color w:val="000000"/>
                <w:kern w:val="0"/>
                <w:sz w:val="18"/>
                <w:szCs w:val="18"/>
                <w:highlight w:val="none"/>
              </w:rPr>
            </w:pPr>
          </w:p>
        </w:tc>
        <w:tc>
          <w:tcPr>
            <w:tcW w:w="844" w:type="dxa"/>
            <w:vMerge w:val="continue"/>
            <w:tcBorders>
              <w:left w:val="single" w:color="auto" w:sz="4" w:space="0"/>
              <w:bottom w:val="single" w:color="auto" w:sz="4" w:space="0"/>
              <w:right w:val="single" w:color="auto" w:sz="4" w:space="0"/>
            </w:tcBorders>
            <w:noWrap w:val="0"/>
            <w:vAlign w:val="center"/>
          </w:tcPr>
          <w:p w14:paraId="67496D04">
            <w:pPr>
              <w:widowControl/>
              <w:jc w:val="center"/>
              <w:rPr>
                <w:rFonts w:ascii="宋体" w:hAnsi="宋体" w:cs="宋体"/>
                <w:color w:val="000000"/>
                <w:kern w:val="0"/>
                <w:sz w:val="18"/>
                <w:szCs w:val="18"/>
                <w:highlight w:val="none"/>
              </w:rPr>
            </w:pPr>
          </w:p>
        </w:tc>
        <w:tc>
          <w:tcPr>
            <w:tcW w:w="1263" w:type="dxa"/>
            <w:vMerge w:val="continue"/>
            <w:tcBorders>
              <w:left w:val="single" w:color="auto" w:sz="4" w:space="0"/>
              <w:bottom w:val="single" w:color="auto" w:sz="4" w:space="0"/>
              <w:right w:val="single" w:color="auto" w:sz="4" w:space="0"/>
            </w:tcBorders>
            <w:noWrap w:val="0"/>
            <w:vAlign w:val="center"/>
          </w:tcPr>
          <w:p w14:paraId="7870AC5A">
            <w:pPr>
              <w:widowControl/>
              <w:jc w:val="center"/>
              <w:rPr>
                <w:rFonts w:ascii="宋体" w:hAnsi="宋体" w:cs="宋体"/>
                <w:color w:val="000000"/>
                <w:kern w:val="0"/>
                <w:sz w:val="18"/>
                <w:szCs w:val="18"/>
                <w:highlight w:val="none"/>
              </w:rPr>
            </w:pPr>
          </w:p>
        </w:tc>
        <w:tc>
          <w:tcPr>
            <w:tcW w:w="846" w:type="dxa"/>
            <w:vMerge w:val="continue"/>
            <w:tcBorders>
              <w:left w:val="single" w:color="auto" w:sz="4" w:space="0"/>
              <w:bottom w:val="single" w:color="auto" w:sz="4" w:space="0"/>
              <w:right w:val="single" w:color="auto" w:sz="4" w:space="0"/>
            </w:tcBorders>
            <w:noWrap w:val="0"/>
            <w:vAlign w:val="center"/>
          </w:tcPr>
          <w:p w14:paraId="099585AF">
            <w:pPr>
              <w:widowControl/>
              <w:jc w:val="center"/>
              <w:rPr>
                <w:rFonts w:ascii="宋体" w:hAnsi="宋体" w:cs="宋体"/>
                <w:color w:val="000000"/>
                <w:kern w:val="0"/>
                <w:sz w:val="18"/>
                <w:szCs w:val="18"/>
                <w:highlight w:val="none"/>
              </w:rPr>
            </w:pPr>
          </w:p>
        </w:tc>
        <w:tc>
          <w:tcPr>
            <w:tcW w:w="2813" w:type="dxa"/>
            <w:vMerge w:val="continue"/>
            <w:tcBorders>
              <w:left w:val="single" w:color="auto" w:sz="4" w:space="0"/>
              <w:bottom w:val="single" w:color="auto" w:sz="4" w:space="0"/>
              <w:right w:val="single" w:color="auto" w:sz="4" w:space="0"/>
            </w:tcBorders>
            <w:noWrap w:val="0"/>
            <w:vAlign w:val="center"/>
          </w:tcPr>
          <w:p w14:paraId="57304F69">
            <w:pPr>
              <w:widowControl/>
              <w:jc w:val="left"/>
              <w:rPr>
                <w:rFonts w:ascii="宋体" w:hAnsi="宋体" w:cs="宋体"/>
                <w:color w:val="000000"/>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B02101">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≥3</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80C9E4">
            <w:pPr>
              <w:widowControl/>
              <w:jc w:val="center"/>
              <w:rPr>
                <w:rFonts w:hint="eastAsia" w:ascii="宋体" w:hAnsi="宋体" w:cs="Arial Unicode MS" w:eastAsiaTheme="minorEastAsia"/>
                <w:color w:val="000000"/>
                <w:kern w:val="0"/>
                <w:sz w:val="18"/>
                <w:szCs w:val="18"/>
                <w:highlight w:val="none"/>
                <w:lang w:val="en-US" w:eastAsia="zh-CN" w:bidi="ar-SA"/>
              </w:rPr>
            </w:pPr>
            <w:r>
              <w:rPr>
                <w:rFonts w:hint="eastAsia" w:ascii="宋体" w:hAnsi="宋体" w:cs="Arial Unicode MS"/>
                <w:color w:val="000000"/>
                <w:kern w:val="0"/>
                <w:sz w:val="18"/>
                <w:szCs w:val="18"/>
                <w:highlight w:val="none"/>
              </w:rPr>
              <w:t>0</w:t>
            </w:r>
          </w:p>
        </w:tc>
      </w:tr>
      <w:tr w14:paraId="0D9CEE93">
        <w:tblPrEx>
          <w:tblCellMar>
            <w:top w:w="0" w:type="dxa"/>
            <w:left w:w="108" w:type="dxa"/>
            <w:bottom w:w="0" w:type="dxa"/>
            <w:right w:w="108" w:type="dxa"/>
          </w:tblCellMar>
        </w:tblPrEx>
        <w:trPr>
          <w:trHeight w:val="415" w:hRule="atLeast"/>
        </w:trPr>
        <w:tc>
          <w:tcPr>
            <w:tcW w:w="1017" w:type="dxa"/>
            <w:vMerge w:val="restart"/>
            <w:tcBorders>
              <w:top w:val="single" w:color="auto" w:sz="4" w:space="0"/>
              <w:left w:val="single" w:color="auto" w:sz="4" w:space="0"/>
              <w:right w:val="single" w:color="auto" w:sz="4" w:space="0"/>
            </w:tcBorders>
            <w:noWrap w:val="0"/>
            <w:vAlign w:val="center"/>
          </w:tcPr>
          <w:p w14:paraId="227AD71E">
            <w:pPr>
              <w:widowControl/>
              <w:jc w:val="center"/>
              <w:rPr>
                <w:rFonts w:hint="default" w:ascii="宋体" w:hAnsi="宋体" w:cs="宋体" w:eastAsiaTheme="minorEastAsia"/>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不良信用信息</w:t>
            </w:r>
          </w:p>
        </w:tc>
        <w:tc>
          <w:tcPr>
            <w:tcW w:w="844" w:type="dxa"/>
            <w:vMerge w:val="restart"/>
            <w:tcBorders>
              <w:top w:val="single" w:color="auto" w:sz="4" w:space="0"/>
              <w:left w:val="single" w:color="auto" w:sz="4" w:space="0"/>
              <w:right w:val="single" w:color="auto" w:sz="4" w:space="0"/>
            </w:tcBorders>
            <w:noWrap w:val="0"/>
            <w:vAlign w:val="center"/>
          </w:tcPr>
          <w:p w14:paraId="5992B2E8">
            <w:pPr>
              <w:widowControl/>
              <w:jc w:val="center"/>
              <w:rPr>
                <w:rFonts w:hint="default" w:ascii="宋体" w:hAnsi="宋体" w:cs="宋体" w:eastAsiaTheme="minorEastAsia"/>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20%</w:t>
            </w:r>
          </w:p>
        </w:tc>
        <w:tc>
          <w:tcPr>
            <w:tcW w:w="12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2F2086">
            <w:pPr>
              <w:widowControl/>
              <w:jc w:val="center"/>
              <w:rPr>
                <w:rFonts w:hint="eastAsia" w:ascii="宋体" w:hAnsi="宋体" w:cs="宋体"/>
                <w:color w:val="000000"/>
                <w:kern w:val="0"/>
                <w:sz w:val="18"/>
                <w:szCs w:val="18"/>
                <w:highlight w:val="none"/>
              </w:rPr>
            </w:pPr>
            <w:r>
              <w:rPr>
                <w:rFonts w:hint="eastAsia" w:ascii="宋体" w:hAnsi="宋体" w:cs="宋体"/>
                <w:color w:val="000000"/>
                <w:kern w:val="0"/>
                <w:sz w:val="18"/>
                <w:szCs w:val="18"/>
                <w:highlight w:val="none"/>
              </w:rPr>
              <w:t>行政处罚</w:t>
            </w:r>
          </w:p>
          <w:p w14:paraId="35D38D1A">
            <w:pPr>
              <w:widowControl/>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记录</w:t>
            </w:r>
          </w:p>
        </w:tc>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C52FAE">
            <w:pPr>
              <w:widowControl/>
              <w:jc w:val="center"/>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lang w:val="en-US" w:eastAsia="zh-CN"/>
              </w:rPr>
              <w:t>40</w:t>
            </w:r>
            <w:r>
              <w:rPr>
                <w:rFonts w:hint="eastAsia" w:ascii="宋体" w:hAnsi="宋体" w:cs="宋体"/>
                <w:color w:val="000000"/>
                <w:kern w:val="0"/>
                <w:sz w:val="18"/>
                <w:szCs w:val="18"/>
                <w:highlight w:val="none"/>
              </w:rPr>
              <w:t>%</w:t>
            </w:r>
          </w:p>
        </w:tc>
        <w:tc>
          <w:tcPr>
            <w:tcW w:w="28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39BEA6">
            <w:pPr>
              <w:widowControl/>
              <w:jc w:val="left"/>
              <w:rPr>
                <w:rFonts w:ascii="宋体" w:hAnsi="宋体" w:cs="宋体" w:eastAsiaTheme="minorEastAsia"/>
                <w:color w:val="000000"/>
                <w:kern w:val="0"/>
                <w:sz w:val="18"/>
                <w:szCs w:val="18"/>
                <w:highlight w:val="none"/>
                <w:lang w:val="en-US" w:eastAsia="zh-CN" w:bidi="ar-SA"/>
              </w:rPr>
            </w:pPr>
            <w:r>
              <w:rPr>
                <w:rFonts w:hint="eastAsia" w:ascii="宋体" w:hAnsi="宋体" w:cs="宋体"/>
                <w:color w:val="000000"/>
                <w:kern w:val="0"/>
                <w:sz w:val="18"/>
                <w:szCs w:val="18"/>
                <w:highlight w:val="none"/>
              </w:rPr>
              <w:t>近</w:t>
            </w: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年企业受到政府监管部门的行政处罚信息。</w:t>
            </w:r>
          </w:p>
        </w:tc>
        <w:tc>
          <w:tcPr>
            <w:tcW w:w="309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741B74">
            <w:pPr>
              <w:widowControl/>
              <w:jc w:val="center"/>
              <w:rPr>
                <w:rFonts w:hint="eastAsia" w:ascii="宋体" w:hAnsi="宋体" w:cs="Arial Unicode MS"/>
                <w:color w:val="000000"/>
                <w:kern w:val="0"/>
                <w:sz w:val="18"/>
                <w:szCs w:val="18"/>
                <w:highlight w:val="none"/>
              </w:rPr>
            </w:pPr>
            <w:r>
              <w:rPr>
                <w:rFonts w:hint="eastAsia" w:ascii="宋体" w:hAnsi="宋体" w:cs="Arial Unicode MS"/>
                <w:color w:val="000000"/>
                <w:kern w:val="0"/>
                <w:sz w:val="18"/>
                <w:szCs w:val="18"/>
                <w:highlight w:val="none"/>
              </w:rPr>
              <w:t>本项为减分项，满分1</w:t>
            </w:r>
            <w:r>
              <w:rPr>
                <w:rFonts w:ascii="宋体" w:hAnsi="宋体" w:cs="Arial Unicode MS"/>
                <w:color w:val="000000"/>
                <w:kern w:val="0"/>
                <w:sz w:val="18"/>
                <w:szCs w:val="18"/>
                <w:highlight w:val="none"/>
              </w:rPr>
              <w:t>00</w:t>
            </w:r>
            <w:r>
              <w:rPr>
                <w:rFonts w:hint="eastAsia" w:ascii="宋体" w:hAnsi="宋体" w:cs="Arial Unicode MS"/>
                <w:color w:val="000000"/>
                <w:kern w:val="0"/>
                <w:sz w:val="18"/>
                <w:szCs w:val="18"/>
                <w:highlight w:val="none"/>
              </w:rPr>
              <w:t>分，每条行政处罚记录减2</w:t>
            </w:r>
            <w:r>
              <w:rPr>
                <w:rFonts w:ascii="宋体" w:hAnsi="宋体" w:cs="Arial Unicode MS"/>
                <w:color w:val="000000"/>
                <w:kern w:val="0"/>
                <w:sz w:val="18"/>
                <w:szCs w:val="18"/>
                <w:highlight w:val="none"/>
              </w:rPr>
              <w:t>0</w:t>
            </w:r>
            <w:r>
              <w:rPr>
                <w:rFonts w:hint="eastAsia" w:ascii="宋体" w:hAnsi="宋体" w:cs="Arial Unicode MS"/>
                <w:color w:val="000000"/>
                <w:kern w:val="0"/>
                <w:sz w:val="18"/>
                <w:szCs w:val="18"/>
                <w:highlight w:val="none"/>
              </w:rPr>
              <w:t>分，扣至0分为止</w:t>
            </w:r>
          </w:p>
        </w:tc>
      </w:tr>
      <w:tr w14:paraId="15C0CC37">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63C438C3">
            <w:pPr>
              <w:widowControl/>
              <w:jc w:val="center"/>
              <w:rPr>
                <w:rFonts w:hint="default" w:ascii="宋体" w:hAnsi="宋体" w:cs="宋体" w:eastAsiaTheme="minorEastAsia"/>
                <w:color w:val="auto"/>
                <w:kern w:val="0"/>
                <w:sz w:val="18"/>
                <w:szCs w:val="18"/>
                <w:highlight w:val="none"/>
                <w:lang w:val="en-US" w:eastAsia="zh-CN"/>
              </w:rPr>
            </w:pPr>
          </w:p>
        </w:tc>
        <w:tc>
          <w:tcPr>
            <w:tcW w:w="844" w:type="dxa"/>
            <w:vMerge w:val="continue"/>
            <w:tcBorders>
              <w:left w:val="single" w:color="auto" w:sz="4" w:space="0"/>
              <w:right w:val="single" w:color="auto" w:sz="4" w:space="0"/>
            </w:tcBorders>
            <w:noWrap w:val="0"/>
            <w:vAlign w:val="center"/>
          </w:tcPr>
          <w:p w14:paraId="4CC12EB0">
            <w:pPr>
              <w:widowControl/>
              <w:jc w:val="center"/>
              <w:rPr>
                <w:rFonts w:ascii="宋体" w:hAnsi="宋体" w:cs="宋体"/>
                <w:color w:val="auto"/>
                <w:kern w:val="0"/>
                <w:sz w:val="18"/>
                <w:szCs w:val="18"/>
                <w:highlight w:val="none"/>
              </w:rPr>
            </w:pPr>
          </w:p>
        </w:tc>
        <w:tc>
          <w:tcPr>
            <w:tcW w:w="1263" w:type="dxa"/>
            <w:vMerge w:val="restart"/>
            <w:tcBorders>
              <w:top w:val="single" w:color="auto" w:sz="4" w:space="0"/>
              <w:left w:val="single" w:color="auto" w:sz="4" w:space="0"/>
              <w:right w:val="single" w:color="auto" w:sz="4" w:space="0"/>
            </w:tcBorders>
            <w:shd w:val="clear" w:color="auto" w:fill="auto"/>
            <w:noWrap w:val="0"/>
            <w:vAlign w:val="center"/>
          </w:tcPr>
          <w:p w14:paraId="2A2B0A2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被执行人</w:t>
            </w:r>
          </w:p>
          <w:p w14:paraId="09BACE8B">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记录</w:t>
            </w:r>
          </w:p>
        </w:tc>
        <w:tc>
          <w:tcPr>
            <w:tcW w:w="846" w:type="dxa"/>
            <w:vMerge w:val="restart"/>
            <w:tcBorders>
              <w:top w:val="single" w:color="auto" w:sz="4" w:space="0"/>
              <w:left w:val="single" w:color="auto" w:sz="4" w:space="0"/>
              <w:right w:val="single" w:color="auto" w:sz="4" w:space="0"/>
            </w:tcBorders>
            <w:shd w:val="clear" w:color="auto" w:fill="auto"/>
            <w:noWrap w:val="0"/>
            <w:vAlign w:val="center"/>
          </w:tcPr>
          <w:p w14:paraId="2968C4F1">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lang w:val="en-US" w:eastAsia="zh-CN"/>
              </w:rPr>
              <w:t>30</w:t>
            </w:r>
            <w:r>
              <w:rPr>
                <w:rFonts w:hint="eastAsia" w:ascii="宋体" w:hAnsi="宋体" w:cs="宋体"/>
                <w:color w:val="auto"/>
                <w:kern w:val="0"/>
                <w:sz w:val="18"/>
                <w:szCs w:val="18"/>
                <w:highlight w:val="none"/>
              </w:rPr>
              <w:t>%</w:t>
            </w:r>
          </w:p>
        </w:tc>
        <w:tc>
          <w:tcPr>
            <w:tcW w:w="2813" w:type="dxa"/>
            <w:vMerge w:val="restart"/>
            <w:tcBorders>
              <w:top w:val="single" w:color="auto" w:sz="4" w:space="0"/>
              <w:left w:val="single" w:color="auto" w:sz="4" w:space="0"/>
              <w:right w:val="single" w:color="auto" w:sz="4" w:space="0"/>
            </w:tcBorders>
            <w:shd w:val="clear" w:color="auto" w:fill="auto"/>
            <w:noWrap w:val="0"/>
            <w:vAlign w:val="center"/>
          </w:tcPr>
          <w:p w14:paraId="43DA8E12">
            <w:pPr>
              <w:widowControl/>
              <w:jc w:val="left"/>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企业法人及法定代表人是否被列为被执行人。</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A6EC7E">
            <w:pPr>
              <w:widowControl/>
              <w:jc w:val="center"/>
              <w:rPr>
                <w:rFonts w:hint="eastAsia" w:ascii="宋体" w:hAnsi="宋体" w:cs="Arial Unicode MS" w:eastAsiaTheme="minorEastAsia"/>
                <w:b/>
                <w:bCs/>
                <w:color w:val="auto"/>
                <w:kern w:val="0"/>
                <w:sz w:val="18"/>
                <w:szCs w:val="18"/>
                <w:highlight w:val="none"/>
                <w:lang w:val="en-US" w:eastAsia="zh-CN" w:bidi="ar-SA"/>
              </w:rPr>
            </w:pPr>
            <w:r>
              <w:rPr>
                <w:rFonts w:hint="eastAsia" w:ascii="宋体" w:hAnsi="宋体" w:cs="Arial Unicode MS"/>
                <w:b/>
                <w:bCs/>
                <w:color w:val="auto"/>
                <w:kern w:val="0"/>
                <w:sz w:val="18"/>
                <w:szCs w:val="18"/>
                <w:highlight w:val="none"/>
              </w:rPr>
              <w:t>被执行人</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363026">
            <w:pPr>
              <w:widowControl/>
              <w:jc w:val="center"/>
              <w:rPr>
                <w:rFonts w:hint="eastAsia" w:ascii="宋体" w:hAnsi="宋体" w:cs="Arial Unicode MS" w:eastAsiaTheme="minorEastAsia"/>
                <w:b/>
                <w:bCs/>
                <w:color w:val="auto"/>
                <w:kern w:val="0"/>
                <w:sz w:val="18"/>
                <w:szCs w:val="18"/>
                <w:highlight w:val="none"/>
                <w:lang w:val="en-US" w:eastAsia="zh-CN" w:bidi="ar-SA"/>
              </w:rPr>
            </w:pPr>
            <w:r>
              <w:rPr>
                <w:rFonts w:hint="eastAsia" w:ascii="宋体" w:hAnsi="宋体" w:cs="Arial Unicode MS"/>
                <w:b/>
                <w:bCs/>
                <w:color w:val="auto"/>
                <w:kern w:val="0"/>
                <w:sz w:val="18"/>
                <w:szCs w:val="18"/>
                <w:highlight w:val="none"/>
              </w:rPr>
              <w:t>得分</w:t>
            </w:r>
          </w:p>
        </w:tc>
      </w:tr>
      <w:tr w14:paraId="488460D5">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52DF040F">
            <w:pPr>
              <w:widowControl/>
              <w:jc w:val="center"/>
              <w:rPr>
                <w:rFonts w:ascii="宋体" w:hAnsi="宋体" w:cs="宋体"/>
                <w:color w:val="auto"/>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3FFC6B8E">
            <w:pPr>
              <w:widowControl/>
              <w:jc w:val="center"/>
              <w:rPr>
                <w:rFonts w:ascii="宋体" w:hAnsi="宋体" w:cs="宋体"/>
                <w:color w:val="auto"/>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63C2B925">
            <w:pPr>
              <w:widowControl/>
              <w:jc w:val="center"/>
              <w:rPr>
                <w:rFonts w:ascii="宋体" w:hAnsi="宋体" w:cs="宋体"/>
                <w:color w:val="auto"/>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6A024992">
            <w:pPr>
              <w:widowControl/>
              <w:jc w:val="center"/>
              <w:rPr>
                <w:rFonts w:ascii="宋体" w:hAnsi="宋体" w:cs="宋体"/>
                <w:color w:val="auto"/>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027ACFC6">
            <w:pPr>
              <w:widowControl/>
              <w:jc w:val="left"/>
              <w:rPr>
                <w:rFonts w:ascii="宋体" w:hAnsi="宋体" w:cs="宋体"/>
                <w:color w:val="auto"/>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D118E4">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否</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16471">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100</w:t>
            </w:r>
          </w:p>
        </w:tc>
      </w:tr>
      <w:tr w14:paraId="0AD821DE">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7FD6820A">
            <w:pPr>
              <w:widowControl/>
              <w:jc w:val="center"/>
              <w:rPr>
                <w:rFonts w:ascii="宋体" w:hAnsi="宋体" w:cs="宋体"/>
                <w:color w:val="auto"/>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5DFD8F81">
            <w:pPr>
              <w:widowControl/>
              <w:jc w:val="center"/>
              <w:rPr>
                <w:rFonts w:ascii="宋体" w:hAnsi="宋体" w:cs="宋体"/>
                <w:color w:val="auto"/>
                <w:kern w:val="0"/>
                <w:sz w:val="18"/>
                <w:szCs w:val="18"/>
                <w:highlight w:val="none"/>
              </w:rPr>
            </w:pPr>
          </w:p>
        </w:tc>
        <w:tc>
          <w:tcPr>
            <w:tcW w:w="1263" w:type="dxa"/>
            <w:vMerge w:val="continue"/>
            <w:tcBorders>
              <w:left w:val="single" w:color="auto" w:sz="4" w:space="0"/>
              <w:bottom w:val="single" w:color="auto" w:sz="4" w:space="0"/>
              <w:right w:val="single" w:color="auto" w:sz="4" w:space="0"/>
            </w:tcBorders>
            <w:noWrap w:val="0"/>
            <w:vAlign w:val="center"/>
          </w:tcPr>
          <w:p w14:paraId="063D0168">
            <w:pPr>
              <w:widowControl/>
              <w:jc w:val="center"/>
              <w:rPr>
                <w:rFonts w:ascii="宋体" w:hAnsi="宋体" w:cs="宋体"/>
                <w:color w:val="auto"/>
                <w:kern w:val="0"/>
                <w:sz w:val="18"/>
                <w:szCs w:val="18"/>
                <w:highlight w:val="none"/>
              </w:rPr>
            </w:pPr>
          </w:p>
        </w:tc>
        <w:tc>
          <w:tcPr>
            <w:tcW w:w="846" w:type="dxa"/>
            <w:vMerge w:val="continue"/>
            <w:tcBorders>
              <w:left w:val="single" w:color="auto" w:sz="4" w:space="0"/>
              <w:bottom w:val="single" w:color="auto" w:sz="4" w:space="0"/>
              <w:right w:val="single" w:color="auto" w:sz="4" w:space="0"/>
            </w:tcBorders>
            <w:noWrap w:val="0"/>
            <w:vAlign w:val="center"/>
          </w:tcPr>
          <w:p w14:paraId="7EAEB2E8">
            <w:pPr>
              <w:widowControl/>
              <w:jc w:val="center"/>
              <w:rPr>
                <w:rFonts w:ascii="宋体" w:hAnsi="宋体" w:cs="宋体"/>
                <w:color w:val="auto"/>
                <w:kern w:val="0"/>
                <w:sz w:val="18"/>
                <w:szCs w:val="18"/>
                <w:highlight w:val="none"/>
              </w:rPr>
            </w:pPr>
          </w:p>
        </w:tc>
        <w:tc>
          <w:tcPr>
            <w:tcW w:w="2813" w:type="dxa"/>
            <w:vMerge w:val="continue"/>
            <w:tcBorders>
              <w:left w:val="single" w:color="auto" w:sz="4" w:space="0"/>
              <w:bottom w:val="single" w:color="auto" w:sz="4" w:space="0"/>
              <w:right w:val="single" w:color="auto" w:sz="4" w:space="0"/>
            </w:tcBorders>
            <w:noWrap w:val="0"/>
            <w:vAlign w:val="center"/>
          </w:tcPr>
          <w:p w14:paraId="523F2FEC">
            <w:pPr>
              <w:widowControl/>
              <w:jc w:val="left"/>
              <w:rPr>
                <w:rFonts w:ascii="宋体" w:hAnsi="宋体" w:cs="宋体"/>
                <w:color w:val="auto"/>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A8A2D6">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是</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BC8D7C">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0</w:t>
            </w:r>
          </w:p>
        </w:tc>
      </w:tr>
      <w:tr w14:paraId="448DE140">
        <w:tblPrEx>
          <w:tblCellMar>
            <w:top w:w="0" w:type="dxa"/>
            <w:left w:w="108" w:type="dxa"/>
            <w:bottom w:w="0" w:type="dxa"/>
            <w:right w:w="108" w:type="dxa"/>
          </w:tblCellMar>
        </w:tblPrEx>
        <w:trPr>
          <w:trHeight w:val="415" w:hRule="atLeast"/>
        </w:trPr>
        <w:tc>
          <w:tcPr>
            <w:tcW w:w="1017" w:type="dxa"/>
            <w:vMerge w:val="continue"/>
            <w:tcBorders>
              <w:left w:val="single" w:color="auto" w:sz="4" w:space="0"/>
              <w:right w:val="single" w:color="auto" w:sz="4" w:space="0"/>
            </w:tcBorders>
            <w:noWrap w:val="0"/>
            <w:vAlign w:val="center"/>
          </w:tcPr>
          <w:p w14:paraId="7101877E">
            <w:pPr>
              <w:widowControl/>
              <w:jc w:val="center"/>
              <w:rPr>
                <w:rFonts w:ascii="宋体" w:hAnsi="宋体" w:cs="宋体"/>
                <w:color w:val="auto"/>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0173FD24">
            <w:pPr>
              <w:widowControl/>
              <w:jc w:val="center"/>
              <w:rPr>
                <w:rFonts w:ascii="宋体" w:hAnsi="宋体" w:cs="宋体"/>
                <w:color w:val="auto"/>
                <w:kern w:val="0"/>
                <w:sz w:val="18"/>
                <w:szCs w:val="18"/>
                <w:highlight w:val="none"/>
              </w:rPr>
            </w:pPr>
          </w:p>
        </w:tc>
        <w:tc>
          <w:tcPr>
            <w:tcW w:w="1263" w:type="dxa"/>
            <w:vMerge w:val="restart"/>
            <w:tcBorders>
              <w:top w:val="single" w:color="auto" w:sz="4" w:space="0"/>
              <w:left w:val="single" w:color="auto" w:sz="4" w:space="0"/>
              <w:right w:val="single" w:color="auto" w:sz="4" w:space="0"/>
            </w:tcBorders>
            <w:shd w:val="clear" w:color="auto" w:fill="auto"/>
            <w:noWrap w:val="0"/>
            <w:vAlign w:val="center"/>
          </w:tcPr>
          <w:p w14:paraId="1B9B8C9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经营异常</w:t>
            </w:r>
          </w:p>
          <w:p w14:paraId="79CF1D84">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记录</w:t>
            </w:r>
          </w:p>
        </w:tc>
        <w:tc>
          <w:tcPr>
            <w:tcW w:w="846" w:type="dxa"/>
            <w:vMerge w:val="restart"/>
            <w:tcBorders>
              <w:top w:val="single" w:color="auto" w:sz="4" w:space="0"/>
              <w:left w:val="single" w:color="auto" w:sz="4" w:space="0"/>
              <w:right w:val="single" w:color="auto" w:sz="4" w:space="0"/>
            </w:tcBorders>
            <w:shd w:val="clear" w:color="auto" w:fill="auto"/>
            <w:noWrap w:val="0"/>
            <w:vAlign w:val="center"/>
          </w:tcPr>
          <w:p w14:paraId="5E400606">
            <w:pPr>
              <w:widowControl/>
              <w:jc w:val="center"/>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lang w:val="en-US" w:eastAsia="zh-CN"/>
              </w:rPr>
              <w:t>30</w:t>
            </w:r>
            <w:r>
              <w:rPr>
                <w:rFonts w:hint="eastAsia" w:ascii="宋体" w:hAnsi="宋体" w:cs="宋体"/>
                <w:color w:val="auto"/>
                <w:kern w:val="0"/>
                <w:sz w:val="18"/>
                <w:szCs w:val="18"/>
                <w:highlight w:val="none"/>
              </w:rPr>
              <w:t>%</w:t>
            </w:r>
          </w:p>
        </w:tc>
        <w:tc>
          <w:tcPr>
            <w:tcW w:w="2813" w:type="dxa"/>
            <w:vMerge w:val="restart"/>
            <w:tcBorders>
              <w:top w:val="single" w:color="auto" w:sz="4" w:space="0"/>
              <w:left w:val="single" w:color="auto" w:sz="4" w:space="0"/>
              <w:right w:val="single" w:color="auto" w:sz="4" w:space="0"/>
            </w:tcBorders>
            <w:shd w:val="clear" w:color="auto" w:fill="auto"/>
            <w:noWrap w:val="0"/>
            <w:vAlign w:val="center"/>
          </w:tcPr>
          <w:p w14:paraId="246B1167">
            <w:pPr>
              <w:widowControl/>
              <w:jc w:val="left"/>
              <w:rPr>
                <w:rFonts w:ascii="宋体" w:hAnsi="宋体" w:cs="宋体" w:eastAsiaTheme="minorEastAsia"/>
                <w:color w:val="auto"/>
                <w:kern w:val="0"/>
                <w:sz w:val="18"/>
                <w:szCs w:val="18"/>
                <w:highlight w:val="none"/>
                <w:lang w:val="en-US" w:eastAsia="zh-CN" w:bidi="ar-SA"/>
              </w:rPr>
            </w:pPr>
            <w:r>
              <w:rPr>
                <w:rFonts w:hint="eastAsia" w:ascii="宋体" w:hAnsi="宋体" w:cs="宋体"/>
                <w:color w:val="auto"/>
                <w:kern w:val="0"/>
                <w:sz w:val="18"/>
                <w:szCs w:val="18"/>
                <w:highlight w:val="none"/>
              </w:rPr>
              <w:t>近</w:t>
            </w:r>
            <w:r>
              <w:rPr>
                <w:rFonts w:hint="eastAsia" w:ascii="宋体" w:hAnsi="宋体" w:cs="宋体"/>
                <w:color w:val="auto"/>
                <w:kern w:val="0"/>
                <w:sz w:val="18"/>
                <w:szCs w:val="18"/>
                <w:highlight w:val="none"/>
                <w:lang w:val="en-US" w:eastAsia="zh-CN"/>
              </w:rPr>
              <w:t>3</w:t>
            </w:r>
            <w:r>
              <w:rPr>
                <w:rFonts w:hint="eastAsia" w:ascii="宋体" w:hAnsi="宋体" w:cs="宋体"/>
                <w:color w:val="auto"/>
                <w:kern w:val="0"/>
                <w:sz w:val="18"/>
                <w:szCs w:val="18"/>
                <w:highlight w:val="none"/>
              </w:rPr>
              <w:t>年企业被列入经营异常名单的记录。</w:t>
            </w: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81C4DB">
            <w:pPr>
              <w:widowControl/>
              <w:jc w:val="center"/>
              <w:rPr>
                <w:rFonts w:hint="eastAsia" w:ascii="宋体" w:hAnsi="宋体" w:cs="Arial Unicode MS" w:eastAsiaTheme="minorEastAsia"/>
                <w:b/>
                <w:bCs/>
                <w:color w:val="auto"/>
                <w:kern w:val="0"/>
                <w:sz w:val="18"/>
                <w:szCs w:val="18"/>
                <w:highlight w:val="none"/>
                <w:lang w:val="en-US" w:eastAsia="zh-CN" w:bidi="ar-SA"/>
              </w:rPr>
            </w:pPr>
            <w:r>
              <w:rPr>
                <w:rFonts w:hint="eastAsia" w:ascii="宋体" w:hAnsi="宋体" w:cs="Arial Unicode MS"/>
                <w:b/>
                <w:bCs/>
                <w:color w:val="auto"/>
                <w:kern w:val="0"/>
                <w:sz w:val="18"/>
                <w:szCs w:val="18"/>
                <w:highlight w:val="none"/>
              </w:rPr>
              <w:t>经营异常记录（条）</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486C9">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得分</w:t>
            </w:r>
          </w:p>
        </w:tc>
      </w:tr>
      <w:tr w14:paraId="301B361B">
        <w:tblPrEx>
          <w:tblCellMar>
            <w:top w:w="0" w:type="dxa"/>
            <w:left w:w="108" w:type="dxa"/>
            <w:bottom w:w="0" w:type="dxa"/>
            <w:right w:w="108" w:type="dxa"/>
          </w:tblCellMar>
        </w:tblPrEx>
        <w:trPr>
          <w:trHeight w:val="433" w:hRule="atLeast"/>
        </w:trPr>
        <w:tc>
          <w:tcPr>
            <w:tcW w:w="1017" w:type="dxa"/>
            <w:vMerge w:val="continue"/>
            <w:tcBorders>
              <w:left w:val="single" w:color="auto" w:sz="4" w:space="0"/>
              <w:right w:val="single" w:color="auto" w:sz="4" w:space="0"/>
            </w:tcBorders>
            <w:noWrap w:val="0"/>
            <w:vAlign w:val="center"/>
          </w:tcPr>
          <w:p w14:paraId="33BF8F75">
            <w:pPr>
              <w:widowControl/>
              <w:jc w:val="center"/>
              <w:rPr>
                <w:rFonts w:ascii="宋体" w:hAnsi="宋体" w:cs="宋体"/>
                <w:color w:val="auto"/>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401455B4">
            <w:pPr>
              <w:widowControl/>
              <w:jc w:val="center"/>
              <w:rPr>
                <w:rFonts w:ascii="宋体" w:hAnsi="宋体" w:cs="宋体"/>
                <w:color w:val="auto"/>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1CB31626">
            <w:pPr>
              <w:widowControl/>
              <w:jc w:val="center"/>
              <w:rPr>
                <w:rFonts w:ascii="宋体" w:hAnsi="宋体" w:cs="宋体"/>
                <w:color w:val="auto"/>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2A2A57FD">
            <w:pPr>
              <w:widowControl/>
              <w:jc w:val="center"/>
              <w:rPr>
                <w:rFonts w:ascii="宋体" w:hAnsi="宋体" w:cs="宋体"/>
                <w:color w:val="auto"/>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2B2B043A">
            <w:pPr>
              <w:widowControl/>
              <w:jc w:val="center"/>
              <w:rPr>
                <w:rFonts w:ascii="宋体" w:hAnsi="宋体" w:cs="宋体"/>
                <w:color w:val="auto"/>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420F94">
            <w:pPr>
              <w:widowControl/>
              <w:jc w:val="center"/>
              <w:rPr>
                <w:rFonts w:hint="eastAsia" w:ascii="宋体" w:hAnsi="宋体" w:cs="Arial Unicode MS" w:eastAsiaTheme="minorEastAsia"/>
                <w:color w:val="auto"/>
                <w:kern w:val="0"/>
                <w:sz w:val="18"/>
                <w:szCs w:val="18"/>
                <w:highlight w:val="none"/>
                <w:lang w:val="en-US" w:eastAsia="zh-CN" w:bidi="ar-SA"/>
              </w:rPr>
            </w:pPr>
            <w:r>
              <w:rPr>
                <w:rFonts w:ascii="宋体" w:hAnsi="宋体" w:cs="Arial Unicode MS"/>
                <w:color w:val="auto"/>
                <w:kern w:val="0"/>
                <w:sz w:val="18"/>
                <w:szCs w:val="18"/>
                <w:highlight w:val="none"/>
              </w:rPr>
              <w:t>0</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EDAE47">
            <w:pPr>
              <w:widowControl/>
              <w:jc w:val="center"/>
              <w:rPr>
                <w:rFonts w:hint="eastAsia" w:ascii="宋体" w:hAnsi="宋体" w:cs="Arial Unicode MS" w:eastAsiaTheme="minorEastAsia"/>
                <w:color w:val="auto"/>
                <w:kern w:val="0"/>
                <w:sz w:val="18"/>
                <w:szCs w:val="18"/>
                <w:highlight w:val="none"/>
                <w:lang w:val="en-US" w:eastAsia="zh-CN" w:bidi="ar-SA"/>
              </w:rPr>
            </w:pPr>
            <w:r>
              <w:rPr>
                <w:rFonts w:ascii="宋体" w:hAnsi="宋体" w:cs="Arial Unicode MS"/>
                <w:color w:val="auto"/>
                <w:kern w:val="0"/>
                <w:sz w:val="18"/>
                <w:szCs w:val="18"/>
                <w:highlight w:val="none"/>
              </w:rPr>
              <w:t>100</w:t>
            </w:r>
          </w:p>
        </w:tc>
      </w:tr>
      <w:tr w14:paraId="7E29D535">
        <w:tblPrEx>
          <w:tblCellMar>
            <w:top w:w="0" w:type="dxa"/>
            <w:left w:w="108" w:type="dxa"/>
            <w:bottom w:w="0" w:type="dxa"/>
            <w:right w:w="108" w:type="dxa"/>
          </w:tblCellMar>
        </w:tblPrEx>
        <w:trPr>
          <w:trHeight w:val="433" w:hRule="atLeast"/>
        </w:trPr>
        <w:tc>
          <w:tcPr>
            <w:tcW w:w="1017" w:type="dxa"/>
            <w:vMerge w:val="continue"/>
            <w:tcBorders>
              <w:left w:val="single" w:color="auto" w:sz="4" w:space="0"/>
              <w:right w:val="single" w:color="auto" w:sz="4" w:space="0"/>
            </w:tcBorders>
            <w:noWrap w:val="0"/>
            <w:vAlign w:val="center"/>
          </w:tcPr>
          <w:p w14:paraId="04AB7BED">
            <w:pPr>
              <w:widowControl/>
              <w:jc w:val="center"/>
              <w:rPr>
                <w:rFonts w:ascii="宋体" w:hAnsi="宋体" w:cs="宋体"/>
                <w:color w:val="auto"/>
                <w:kern w:val="0"/>
                <w:sz w:val="18"/>
                <w:szCs w:val="18"/>
                <w:highlight w:val="none"/>
              </w:rPr>
            </w:pPr>
          </w:p>
        </w:tc>
        <w:tc>
          <w:tcPr>
            <w:tcW w:w="844" w:type="dxa"/>
            <w:vMerge w:val="continue"/>
            <w:tcBorders>
              <w:left w:val="single" w:color="auto" w:sz="4" w:space="0"/>
              <w:right w:val="single" w:color="auto" w:sz="4" w:space="0"/>
            </w:tcBorders>
            <w:noWrap w:val="0"/>
            <w:vAlign w:val="center"/>
          </w:tcPr>
          <w:p w14:paraId="437D63CF">
            <w:pPr>
              <w:widowControl/>
              <w:jc w:val="center"/>
              <w:rPr>
                <w:rFonts w:ascii="宋体" w:hAnsi="宋体" w:cs="宋体"/>
                <w:color w:val="auto"/>
                <w:kern w:val="0"/>
                <w:sz w:val="18"/>
                <w:szCs w:val="18"/>
                <w:highlight w:val="none"/>
              </w:rPr>
            </w:pPr>
          </w:p>
        </w:tc>
        <w:tc>
          <w:tcPr>
            <w:tcW w:w="1263" w:type="dxa"/>
            <w:vMerge w:val="continue"/>
            <w:tcBorders>
              <w:left w:val="single" w:color="auto" w:sz="4" w:space="0"/>
              <w:right w:val="single" w:color="auto" w:sz="4" w:space="0"/>
            </w:tcBorders>
            <w:noWrap w:val="0"/>
            <w:vAlign w:val="center"/>
          </w:tcPr>
          <w:p w14:paraId="412E6AB3">
            <w:pPr>
              <w:widowControl/>
              <w:jc w:val="center"/>
              <w:rPr>
                <w:rFonts w:ascii="宋体" w:hAnsi="宋体" w:cs="宋体"/>
                <w:color w:val="auto"/>
                <w:kern w:val="0"/>
                <w:sz w:val="18"/>
                <w:szCs w:val="18"/>
                <w:highlight w:val="none"/>
              </w:rPr>
            </w:pPr>
          </w:p>
        </w:tc>
        <w:tc>
          <w:tcPr>
            <w:tcW w:w="846" w:type="dxa"/>
            <w:vMerge w:val="continue"/>
            <w:tcBorders>
              <w:left w:val="single" w:color="auto" w:sz="4" w:space="0"/>
              <w:right w:val="single" w:color="auto" w:sz="4" w:space="0"/>
            </w:tcBorders>
            <w:noWrap w:val="0"/>
            <w:vAlign w:val="center"/>
          </w:tcPr>
          <w:p w14:paraId="6334552D">
            <w:pPr>
              <w:widowControl/>
              <w:jc w:val="center"/>
              <w:rPr>
                <w:rFonts w:ascii="宋体" w:hAnsi="宋体" w:cs="宋体"/>
                <w:color w:val="auto"/>
                <w:kern w:val="0"/>
                <w:sz w:val="18"/>
                <w:szCs w:val="18"/>
                <w:highlight w:val="none"/>
              </w:rPr>
            </w:pPr>
          </w:p>
        </w:tc>
        <w:tc>
          <w:tcPr>
            <w:tcW w:w="2813" w:type="dxa"/>
            <w:vMerge w:val="continue"/>
            <w:tcBorders>
              <w:left w:val="single" w:color="auto" w:sz="4" w:space="0"/>
              <w:right w:val="single" w:color="auto" w:sz="4" w:space="0"/>
            </w:tcBorders>
            <w:noWrap w:val="0"/>
            <w:vAlign w:val="center"/>
          </w:tcPr>
          <w:p w14:paraId="6179D834">
            <w:pPr>
              <w:widowControl/>
              <w:jc w:val="center"/>
              <w:rPr>
                <w:rFonts w:ascii="宋体" w:hAnsi="宋体" w:cs="宋体"/>
                <w:color w:val="auto"/>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1223CF">
            <w:pPr>
              <w:widowControl/>
              <w:jc w:val="center"/>
              <w:rPr>
                <w:rFonts w:hint="eastAsia" w:ascii="宋体" w:hAnsi="宋体" w:cs="Arial Unicode MS" w:eastAsiaTheme="minorEastAsia"/>
                <w:color w:val="auto"/>
                <w:kern w:val="0"/>
                <w:sz w:val="18"/>
                <w:szCs w:val="18"/>
                <w:highlight w:val="none"/>
                <w:lang w:val="en-US" w:eastAsia="zh-CN" w:bidi="ar-SA"/>
              </w:rPr>
            </w:pPr>
            <w:r>
              <w:rPr>
                <w:rFonts w:ascii="宋体" w:hAnsi="宋体" w:cs="Arial Unicode MS"/>
                <w:color w:val="auto"/>
                <w:kern w:val="0"/>
                <w:sz w:val="18"/>
                <w:szCs w:val="18"/>
                <w:highlight w:val="none"/>
              </w:rPr>
              <w:t>[1,2]</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3308F0">
            <w:pPr>
              <w:widowControl/>
              <w:jc w:val="center"/>
              <w:rPr>
                <w:rFonts w:hint="eastAsia" w:ascii="宋体" w:hAnsi="宋体" w:cs="Arial Unicode MS" w:eastAsiaTheme="minorEastAsia"/>
                <w:color w:val="auto"/>
                <w:kern w:val="0"/>
                <w:sz w:val="18"/>
                <w:szCs w:val="18"/>
                <w:highlight w:val="none"/>
                <w:lang w:val="en-US" w:eastAsia="zh-CN" w:bidi="ar-SA"/>
              </w:rPr>
            </w:pPr>
            <w:r>
              <w:rPr>
                <w:rFonts w:ascii="宋体" w:hAnsi="宋体" w:cs="Arial Unicode MS"/>
                <w:color w:val="auto"/>
                <w:kern w:val="0"/>
                <w:sz w:val="18"/>
                <w:szCs w:val="18"/>
                <w:highlight w:val="none"/>
              </w:rPr>
              <w:t>50</w:t>
            </w:r>
          </w:p>
        </w:tc>
      </w:tr>
      <w:tr w14:paraId="28292036">
        <w:tblPrEx>
          <w:tblCellMar>
            <w:top w:w="0" w:type="dxa"/>
            <w:left w:w="108" w:type="dxa"/>
            <w:bottom w:w="0" w:type="dxa"/>
            <w:right w:w="108" w:type="dxa"/>
          </w:tblCellMar>
        </w:tblPrEx>
        <w:trPr>
          <w:trHeight w:val="433" w:hRule="atLeast"/>
        </w:trPr>
        <w:tc>
          <w:tcPr>
            <w:tcW w:w="1017" w:type="dxa"/>
            <w:vMerge w:val="continue"/>
            <w:tcBorders>
              <w:left w:val="single" w:color="auto" w:sz="4" w:space="0"/>
              <w:bottom w:val="single" w:color="auto" w:sz="4" w:space="0"/>
              <w:right w:val="single" w:color="auto" w:sz="4" w:space="0"/>
            </w:tcBorders>
            <w:noWrap w:val="0"/>
            <w:vAlign w:val="center"/>
          </w:tcPr>
          <w:p w14:paraId="6B2C4617">
            <w:pPr>
              <w:widowControl/>
              <w:jc w:val="center"/>
              <w:rPr>
                <w:rFonts w:hint="default" w:ascii="宋体" w:hAnsi="宋体" w:cs="宋体"/>
                <w:color w:val="auto"/>
                <w:kern w:val="0"/>
                <w:sz w:val="18"/>
                <w:szCs w:val="18"/>
                <w:highlight w:val="none"/>
                <w:lang w:val="en-US"/>
              </w:rPr>
            </w:pPr>
          </w:p>
        </w:tc>
        <w:tc>
          <w:tcPr>
            <w:tcW w:w="844" w:type="dxa"/>
            <w:vMerge w:val="continue"/>
            <w:tcBorders>
              <w:left w:val="single" w:color="auto" w:sz="4" w:space="0"/>
              <w:bottom w:val="single" w:color="auto" w:sz="4" w:space="0"/>
              <w:right w:val="single" w:color="auto" w:sz="4" w:space="0"/>
            </w:tcBorders>
            <w:noWrap w:val="0"/>
            <w:vAlign w:val="center"/>
          </w:tcPr>
          <w:p w14:paraId="1B7F8AF7">
            <w:pPr>
              <w:widowControl/>
              <w:jc w:val="center"/>
              <w:rPr>
                <w:rFonts w:ascii="宋体" w:hAnsi="宋体" w:cs="宋体"/>
                <w:color w:val="auto"/>
                <w:kern w:val="0"/>
                <w:sz w:val="18"/>
                <w:szCs w:val="18"/>
                <w:highlight w:val="none"/>
              </w:rPr>
            </w:pPr>
          </w:p>
        </w:tc>
        <w:tc>
          <w:tcPr>
            <w:tcW w:w="1263" w:type="dxa"/>
            <w:vMerge w:val="continue"/>
            <w:tcBorders>
              <w:left w:val="single" w:color="auto" w:sz="4" w:space="0"/>
              <w:bottom w:val="single" w:color="auto" w:sz="4" w:space="0"/>
              <w:right w:val="single" w:color="auto" w:sz="4" w:space="0"/>
            </w:tcBorders>
            <w:noWrap w:val="0"/>
            <w:vAlign w:val="center"/>
          </w:tcPr>
          <w:p w14:paraId="49A4C9EE">
            <w:pPr>
              <w:widowControl/>
              <w:jc w:val="center"/>
              <w:rPr>
                <w:rFonts w:ascii="宋体" w:hAnsi="宋体" w:cs="宋体"/>
                <w:color w:val="auto"/>
                <w:kern w:val="0"/>
                <w:sz w:val="18"/>
                <w:szCs w:val="18"/>
                <w:highlight w:val="none"/>
              </w:rPr>
            </w:pPr>
          </w:p>
        </w:tc>
        <w:tc>
          <w:tcPr>
            <w:tcW w:w="846" w:type="dxa"/>
            <w:vMerge w:val="continue"/>
            <w:tcBorders>
              <w:left w:val="single" w:color="auto" w:sz="4" w:space="0"/>
              <w:bottom w:val="single" w:color="auto" w:sz="4" w:space="0"/>
              <w:right w:val="single" w:color="auto" w:sz="4" w:space="0"/>
            </w:tcBorders>
            <w:noWrap w:val="0"/>
            <w:vAlign w:val="center"/>
          </w:tcPr>
          <w:p w14:paraId="7D8BFCA5">
            <w:pPr>
              <w:widowControl/>
              <w:jc w:val="center"/>
              <w:rPr>
                <w:rFonts w:ascii="宋体" w:hAnsi="宋体" w:cs="宋体"/>
                <w:color w:val="auto"/>
                <w:kern w:val="0"/>
                <w:sz w:val="18"/>
                <w:szCs w:val="18"/>
                <w:highlight w:val="none"/>
              </w:rPr>
            </w:pPr>
          </w:p>
        </w:tc>
        <w:tc>
          <w:tcPr>
            <w:tcW w:w="2813" w:type="dxa"/>
            <w:vMerge w:val="continue"/>
            <w:tcBorders>
              <w:left w:val="single" w:color="auto" w:sz="4" w:space="0"/>
              <w:bottom w:val="single" w:color="auto" w:sz="4" w:space="0"/>
              <w:right w:val="single" w:color="auto" w:sz="4" w:space="0"/>
            </w:tcBorders>
            <w:noWrap w:val="0"/>
            <w:vAlign w:val="center"/>
          </w:tcPr>
          <w:p w14:paraId="4FB4C841">
            <w:pPr>
              <w:widowControl/>
              <w:jc w:val="center"/>
              <w:rPr>
                <w:rFonts w:ascii="宋体" w:hAnsi="宋体" w:cs="宋体"/>
                <w:color w:val="auto"/>
                <w:kern w:val="0"/>
                <w:sz w:val="18"/>
                <w:szCs w:val="18"/>
                <w:highlight w:val="none"/>
              </w:rPr>
            </w:pPr>
          </w:p>
        </w:tc>
        <w:tc>
          <w:tcPr>
            <w:tcW w:w="19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07DCB1">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≥3</w:t>
            </w:r>
          </w:p>
        </w:tc>
        <w:tc>
          <w:tcPr>
            <w:tcW w:w="112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0D483D">
            <w:pPr>
              <w:widowControl/>
              <w:jc w:val="center"/>
              <w:rPr>
                <w:rFonts w:hint="eastAsia" w:ascii="宋体" w:hAnsi="宋体" w:cs="Arial Unicode MS" w:eastAsiaTheme="minorEastAsia"/>
                <w:color w:val="auto"/>
                <w:kern w:val="0"/>
                <w:sz w:val="18"/>
                <w:szCs w:val="18"/>
                <w:highlight w:val="none"/>
                <w:lang w:val="en-US" w:eastAsia="zh-CN" w:bidi="ar-SA"/>
              </w:rPr>
            </w:pPr>
            <w:r>
              <w:rPr>
                <w:rFonts w:hint="eastAsia" w:ascii="宋体" w:hAnsi="宋体" w:cs="Arial Unicode MS"/>
                <w:color w:val="auto"/>
                <w:kern w:val="0"/>
                <w:sz w:val="18"/>
                <w:szCs w:val="18"/>
                <w:highlight w:val="none"/>
              </w:rPr>
              <w:t>0</w:t>
            </w:r>
          </w:p>
        </w:tc>
      </w:tr>
      <w:bookmarkEnd w:id="0"/>
      <w:bookmarkEnd w:id="1"/>
    </w:tbl>
    <w:p w14:paraId="17D18F2E">
      <w:pPr>
        <w:keepNext w:val="0"/>
        <w:keepLines w:val="0"/>
        <w:pageBreakBefore w:val="0"/>
        <w:widowControl w:val="0"/>
        <w:kinsoku/>
        <w:wordWrap/>
        <w:overflowPunct/>
        <w:topLinePunct w:val="0"/>
        <w:autoSpaceDE/>
        <w:autoSpaceDN/>
        <w:bidi w:val="0"/>
        <w:adjustRightInd/>
        <w:snapToGrid/>
        <w:spacing w:line="400" w:lineRule="exact"/>
        <w:ind w:left="-849" w:leftChars="-405" w:hanging="1"/>
        <w:jc w:val="center"/>
        <w:textAlignment w:val="auto"/>
        <w:outlineLvl w:val="0"/>
        <w:rPr>
          <w:rFonts w:hint="eastAsia" w:ascii="仿宋_GB2312" w:hAnsi="宋体" w:eastAsia="仿宋_GB2312"/>
          <w:b/>
          <w:color w:val="auto"/>
          <w:sz w:val="22"/>
          <w:szCs w:val="30"/>
          <w:highlight w:val="none"/>
          <w:lang w:eastAsia="zh-CN"/>
        </w:rPr>
      </w:pPr>
    </w:p>
    <w:p w14:paraId="4CB20C93">
      <w:pPr>
        <w:ind w:firstLine="600" w:firstLineChars="200"/>
        <w:rPr>
          <w:rFonts w:hint="eastAsia" w:ascii="仿宋" w:hAnsi="仿宋" w:eastAsia="仿宋" w:cs="仿宋"/>
          <w:sz w:val="30"/>
          <w:szCs w:val="30"/>
          <w:lang w:eastAsia="zh-CN"/>
        </w:rPr>
      </w:pPr>
    </w:p>
    <w:p w14:paraId="7D57F050">
      <w:pPr>
        <w:rPr>
          <w:rFonts w:hint="eastAsia" w:ascii="仿宋" w:hAnsi="仿宋" w:eastAsia="仿宋" w:cs="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00ED5"/>
    <w:multiLevelType w:val="singleLevel"/>
    <w:tmpl w:val="1A200ED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1ZWY1OTVkYjgxNGQ1NGQ2YzBkNWM1ZWI2NzhjYzAifQ=="/>
  </w:docVars>
  <w:rsids>
    <w:rsidRoot w:val="44D77C8E"/>
    <w:rsid w:val="026B61D0"/>
    <w:rsid w:val="0B860EB1"/>
    <w:rsid w:val="0EA16EC8"/>
    <w:rsid w:val="14A34882"/>
    <w:rsid w:val="16E043BF"/>
    <w:rsid w:val="1FEE3312"/>
    <w:rsid w:val="206E143A"/>
    <w:rsid w:val="20A87E65"/>
    <w:rsid w:val="22CE3412"/>
    <w:rsid w:val="26E6002D"/>
    <w:rsid w:val="2DF07E72"/>
    <w:rsid w:val="3E1A3B1E"/>
    <w:rsid w:val="44D77C8E"/>
    <w:rsid w:val="469B5413"/>
    <w:rsid w:val="5209060F"/>
    <w:rsid w:val="560E70A6"/>
    <w:rsid w:val="653672AF"/>
    <w:rsid w:val="6C3C32BC"/>
    <w:rsid w:val="6EC03D13"/>
    <w:rsid w:val="724E11C4"/>
    <w:rsid w:val="7EDE3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2735</Words>
  <Characters>2956</Characters>
  <Lines>0</Lines>
  <Paragraphs>0</Paragraphs>
  <TotalTime>3</TotalTime>
  <ScaleCrop>false</ScaleCrop>
  <LinksUpToDate>false</LinksUpToDate>
  <CharactersWithSpaces>3034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2025-10-10T01:22:00Z</dcterms:created>
  <dc:creator>和永</dc:creator>
  <cp:lastModifiedBy>毛毛</cp:lastModifiedBy>
  <cp:lastPrinted>2026-01-16T07:19:37Z</cp:lastPrinted>
  <dcterms:modified xsi:type="dcterms:W3CDTF">2026-01-16T09:35:08Z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26FC595E6E1243F79EF4E6F8DB38A617_13</vt:lpwstr>
  </property>
  <property fmtid="{D5CDD505-2E9C-101B-9397-08002B2CF9AE}" pid="4" name="KSOTemplateDocerSaveRecord">
    <vt:lpwstr>eyJoZGlkIjoiNDA3MmQwYjE0OTExNmEwZGQ4ZDZiYjExNmFjNGM0YzYiLCJ1c2VySWQiOiIyMzkzNzkxNTAifQ==</vt:lpwstr>
  </property>
</Properties>
</file>