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3D7BA9">
      <w:pPr>
        <w:pStyle w:val="4"/>
        <w:jc w:val="both"/>
        <w:rPr>
          <w:rFonts w:hint="eastAsia" w:ascii="宋体" w:hAnsi="宋体" w:eastAsia="宋体" w:cs="宋体"/>
          <w:b w:val="0"/>
          <w:bCs w:val="0"/>
          <w:spacing w:val="-3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pacing w:val="-3"/>
          <w:sz w:val="28"/>
          <w:szCs w:val="28"/>
          <w:lang w:val="en-US" w:eastAsia="zh-CN"/>
        </w:rPr>
        <w:t>附件1：</w:t>
      </w:r>
    </w:p>
    <w:p w14:paraId="352290FA">
      <w:pPr>
        <w:pStyle w:val="4"/>
        <w:jc w:val="center"/>
        <w:rPr>
          <w:rFonts w:hint="eastAsia" w:eastAsia="黑体"/>
          <w:lang w:val="en-US" w:eastAsia="zh-CN"/>
        </w:rPr>
      </w:pPr>
      <w:r>
        <w:rPr>
          <w:rFonts w:ascii="黑体" w:hAnsi="黑体" w:eastAsia="黑体" w:cs="黑体"/>
          <w:b/>
          <w:bCs/>
          <w:spacing w:val="-3"/>
          <w:sz w:val="32"/>
          <w:szCs w:val="32"/>
        </w:rPr>
        <w:t>工匠</w:t>
      </w:r>
      <w:r>
        <w:rPr>
          <w:rFonts w:hint="eastAsia" w:ascii="黑体" w:hAnsi="黑体" w:eastAsia="黑体" w:cs="黑体"/>
          <w:b/>
          <w:bCs/>
          <w:spacing w:val="-3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b/>
          <w:bCs/>
          <w:spacing w:val="-3"/>
          <w:sz w:val="32"/>
          <w:szCs w:val="32"/>
          <w:lang w:val="en-US" w:eastAsia="zh-CN"/>
        </w:rPr>
        <w:t>大师</w:t>
      </w:r>
      <w:r>
        <w:rPr>
          <w:rFonts w:hint="eastAsia" w:ascii="黑体" w:hAnsi="黑体" w:eastAsia="黑体" w:cs="黑体"/>
          <w:b/>
          <w:bCs/>
          <w:spacing w:val="-3"/>
          <w:sz w:val="32"/>
          <w:szCs w:val="32"/>
          <w:lang w:eastAsia="zh-CN"/>
        </w:rPr>
        <w:t>）</w:t>
      </w:r>
      <w:r>
        <w:rPr>
          <w:rFonts w:ascii="黑体" w:hAnsi="黑体" w:eastAsia="黑体" w:cs="黑体"/>
          <w:b/>
          <w:bCs/>
          <w:spacing w:val="-3"/>
          <w:sz w:val="32"/>
          <w:szCs w:val="32"/>
        </w:rPr>
        <w:t>工作室</w:t>
      </w:r>
      <w:r>
        <w:rPr>
          <w:rFonts w:hint="eastAsia" w:ascii="黑体" w:hAnsi="黑体" w:eastAsia="黑体" w:cs="黑体"/>
          <w:b/>
          <w:bCs/>
          <w:spacing w:val="-3"/>
          <w:sz w:val="32"/>
          <w:szCs w:val="32"/>
          <w:lang w:val="en-US" w:eastAsia="zh-CN"/>
        </w:rPr>
        <w:t>一（二）星级</w:t>
      </w:r>
      <w:r>
        <w:rPr>
          <w:rFonts w:ascii="黑体" w:hAnsi="黑体" w:eastAsia="黑体" w:cs="黑体"/>
          <w:b/>
          <w:bCs/>
          <w:spacing w:val="-3"/>
          <w:sz w:val="32"/>
          <w:szCs w:val="32"/>
        </w:rPr>
        <w:t>评分</w:t>
      </w:r>
      <w:r>
        <w:rPr>
          <w:rFonts w:hint="eastAsia" w:ascii="黑体" w:hAnsi="黑体" w:eastAsia="黑体" w:cs="黑体"/>
          <w:b/>
          <w:bCs/>
          <w:spacing w:val="-3"/>
          <w:sz w:val="32"/>
          <w:szCs w:val="32"/>
          <w:lang w:val="en-US" w:eastAsia="zh-CN"/>
        </w:rPr>
        <w:t>标准</w:t>
      </w:r>
    </w:p>
    <w:p w14:paraId="021A9365">
      <w:pPr>
        <w:spacing w:before="154" w:line="219" w:lineRule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3"/>
          <w:sz w:val="24"/>
          <w:szCs w:val="24"/>
        </w:rPr>
        <w:t>受评工作室</w:t>
      </w:r>
      <w:r>
        <w:rPr>
          <w:rFonts w:hint="eastAsia" w:ascii="宋体" w:hAnsi="宋体" w:eastAsia="宋体" w:cs="宋体"/>
          <w:spacing w:val="3"/>
          <w:sz w:val="24"/>
          <w:szCs w:val="24"/>
          <w:lang w:eastAsia="zh-CN"/>
        </w:rPr>
        <w:t>：</w:t>
      </w:r>
      <w:r>
        <w:rPr>
          <w:rFonts w:ascii="宋体" w:hAnsi="宋体" w:eastAsia="宋体" w:cs="宋体"/>
          <w:spacing w:val="4"/>
          <w:sz w:val="24"/>
          <w:szCs w:val="24"/>
        </w:rPr>
        <w:t xml:space="preserve">                    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      </w:t>
      </w:r>
      <w:r>
        <w:rPr>
          <w:rFonts w:hint="eastAsia" w:ascii="宋体" w:hAnsi="宋体" w:eastAsia="宋体" w:cs="宋体"/>
          <w:spacing w:val="3"/>
          <w:sz w:val="24"/>
          <w:szCs w:val="24"/>
          <w:lang w:val="en-US" w:eastAsia="zh-CN"/>
        </w:rPr>
        <w:t xml:space="preserve">          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   评价时间：            </w:t>
      </w:r>
      <w:r>
        <w:rPr>
          <w:rFonts w:ascii="宋体" w:hAnsi="宋体" w:eastAsia="宋体" w:cs="宋体"/>
          <w:spacing w:val="2"/>
          <w:sz w:val="24"/>
          <w:szCs w:val="24"/>
        </w:rPr>
        <w:t xml:space="preserve">                 受评代表：</w:t>
      </w:r>
    </w:p>
    <w:tbl>
      <w:tblPr>
        <w:tblStyle w:val="7"/>
        <w:tblW w:w="15570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0"/>
        <w:gridCol w:w="1336"/>
        <w:gridCol w:w="1285"/>
        <w:gridCol w:w="1848"/>
        <w:gridCol w:w="5131"/>
        <w:gridCol w:w="853"/>
        <w:gridCol w:w="3827"/>
      </w:tblGrid>
      <w:tr w14:paraId="0529612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  <w:jc w:val="center"/>
        </w:trPr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2C2A755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3"/>
                <w:sz w:val="21"/>
                <w:szCs w:val="21"/>
              </w:rPr>
              <w:t>一级指标</w:t>
            </w:r>
          </w:p>
        </w:tc>
        <w:tc>
          <w:tcPr>
            <w:tcW w:w="1336" w:type="dxa"/>
            <w:tcBorders>
              <w:tl2br w:val="nil"/>
              <w:tr2bl w:val="nil"/>
            </w:tcBorders>
            <w:vAlign w:val="center"/>
          </w:tcPr>
          <w:p w14:paraId="2DF91DB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3"/>
                <w:sz w:val="21"/>
                <w:szCs w:val="21"/>
              </w:rPr>
              <w:t>二级指标</w:t>
            </w:r>
          </w:p>
        </w:tc>
        <w:tc>
          <w:tcPr>
            <w:tcW w:w="1285" w:type="dxa"/>
            <w:tcBorders>
              <w:tl2br w:val="nil"/>
              <w:tr2bl w:val="nil"/>
            </w:tcBorders>
            <w:vAlign w:val="center"/>
          </w:tcPr>
          <w:p w14:paraId="0542583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2"/>
                <w:sz w:val="21"/>
                <w:szCs w:val="21"/>
              </w:rPr>
              <w:t>三级指标</w:t>
            </w:r>
          </w:p>
        </w:tc>
        <w:tc>
          <w:tcPr>
            <w:tcW w:w="1848" w:type="dxa"/>
            <w:tcBorders>
              <w:tl2br w:val="nil"/>
              <w:tr2bl w:val="nil"/>
            </w:tcBorders>
            <w:vAlign w:val="center"/>
          </w:tcPr>
          <w:p w14:paraId="68B6AAB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2"/>
                <w:sz w:val="21"/>
                <w:szCs w:val="21"/>
              </w:rPr>
              <w:t>考核内容</w:t>
            </w:r>
          </w:p>
        </w:tc>
        <w:tc>
          <w:tcPr>
            <w:tcW w:w="5131" w:type="dxa"/>
            <w:tcBorders>
              <w:tl2br w:val="nil"/>
              <w:tr2bl w:val="nil"/>
            </w:tcBorders>
            <w:vAlign w:val="center"/>
          </w:tcPr>
          <w:p w14:paraId="5A52A16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2"/>
                <w:sz w:val="21"/>
                <w:szCs w:val="21"/>
              </w:rPr>
              <w:t>评分标准</w:t>
            </w: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5E5F959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3"/>
                <w:sz w:val="21"/>
                <w:szCs w:val="21"/>
              </w:rPr>
              <w:t>得分</w:t>
            </w:r>
          </w:p>
        </w:tc>
        <w:tc>
          <w:tcPr>
            <w:tcW w:w="3827" w:type="dxa"/>
            <w:tcBorders>
              <w:tl2br w:val="nil"/>
              <w:tr2bl w:val="nil"/>
            </w:tcBorders>
            <w:vAlign w:val="center"/>
          </w:tcPr>
          <w:p w14:paraId="2242752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5"/>
                <w:sz w:val="21"/>
                <w:szCs w:val="21"/>
              </w:rPr>
              <w:t>评分说明</w:t>
            </w:r>
          </w:p>
        </w:tc>
      </w:tr>
      <w:tr w14:paraId="45F01E9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1290" w:type="dxa"/>
            <w:vMerge w:val="restart"/>
            <w:tcBorders>
              <w:tl2br w:val="nil"/>
              <w:tr2bl w:val="nil"/>
            </w:tcBorders>
            <w:vAlign w:val="center"/>
          </w:tcPr>
          <w:p w14:paraId="6C4C4A3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22"/>
                <w:sz w:val="21"/>
                <w:szCs w:val="21"/>
              </w:rPr>
              <w:t>一、基本要</w:t>
            </w:r>
            <w:r>
              <w:rPr>
                <w:rFonts w:hint="eastAsia" w:ascii="宋体" w:hAnsi="宋体" w:eastAsia="宋体" w:cs="宋体"/>
                <w:color w:val="auto"/>
                <w:spacing w:val="-10"/>
                <w:sz w:val="21"/>
                <w:szCs w:val="21"/>
              </w:rPr>
              <w:t>求</w:t>
            </w:r>
          </w:p>
          <w:p w14:paraId="1BE599F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9"/>
                <w:sz w:val="21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color w:val="auto"/>
                <w:spacing w:val="9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spacing w:val="9"/>
                <w:sz w:val="21"/>
                <w:szCs w:val="21"/>
              </w:rPr>
              <w:t>分)</w:t>
            </w:r>
          </w:p>
        </w:tc>
        <w:tc>
          <w:tcPr>
            <w:tcW w:w="1336" w:type="dxa"/>
            <w:vMerge w:val="restart"/>
            <w:tcBorders>
              <w:tl2br w:val="nil"/>
              <w:tr2bl w:val="nil"/>
            </w:tcBorders>
            <w:vAlign w:val="center"/>
          </w:tcPr>
          <w:p w14:paraId="3975175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2"/>
                <w:sz w:val="21"/>
                <w:szCs w:val="21"/>
              </w:rPr>
              <w:t>1.组织机构</w:t>
            </w:r>
          </w:p>
          <w:p w14:paraId="468EEA1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10"/>
                <w:sz w:val="21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color w:val="auto"/>
                <w:spacing w:val="10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spacing w:val="10"/>
                <w:sz w:val="21"/>
                <w:szCs w:val="21"/>
              </w:rPr>
              <w:t>分)</w:t>
            </w:r>
          </w:p>
        </w:tc>
        <w:tc>
          <w:tcPr>
            <w:tcW w:w="1285" w:type="dxa"/>
            <w:vMerge w:val="restart"/>
            <w:tcBorders>
              <w:tl2br w:val="nil"/>
              <w:tr2bl w:val="nil"/>
            </w:tcBorders>
            <w:vAlign w:val="center"/>
          </w:tcPr>
          <w:p w14:paraId="5108B6ED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  <w:p w14:paraId="2311BC9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2"/>
                <w:sz w:val="21"/>
                <w:szCs w:val="21"/>
              </w:rPr>
              <w:t>1.1领衔人</w:t>
            </w:r>
          </w:p>
          <w:p w14:paraId="4841A05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12"/>
                <w:sz w:val="21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color w:val="auto"/>
                <w:spacing w:val="12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pacing w:val="12"/>
                <w:sz w:val="21"/>
                <w:szCs w:val="21"/>
              </w:rPr>
              <w:t>分)</w:t>
            </w:r>
          </w:p>
        </w:tc>
        <w:tc>
          <w:tcPr>
            <w:tcW w:w="1848" w:type="dxa"/>
            <w:tcBorders>
              <w:tl2br w:val="nil"/>
              <w:tr2bl w:val="nil"/>
            </w:tcBorders>
            <w:vAlign w:val="center"/>
          </w:tcPr>
          <w:p w14:paraId="3CBD57E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领衔人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lang w:val="en-US" w:eastAsia="zh-CN"/>
              </w:rPr>
              <w:t>资历</w:t>
            </w:r>
          </w:p>
        </w:tc>
        <w:tc>
          <w:tcPr>
            <w:tcW w:w="5131" w:type="dxa"/>
            <w:tcBorders>
              <w:tl2br w:val="nil"/>
              <w:tr2bl w:val="nil"/>
            </w:tcBorders>
            <w:vAlign w:val="center"/>
          </w:tcPr>
          <w:p w14:paraId="1826327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领衔人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必须在本企业工作5年以上或具有高级职称。（1分）</w:t>
            </w: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12BBFC0F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3827" w:type="dxa"/>
            <w:tcBorders>
              <w:tl2br w:val="nil"/>
              <w:tr2bl w:val="nil"/>
            </w:tcBorders>
            <w:vAlign w:val="center"/>
          </w:tcPr>
          <w:p w14:paraId="4429C3B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  <w:t>提供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领衔人</w:t>
            </w: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  <w:t>劳动合同或职称证书。</w:t>
            </w:r>
            <w:r>
              <w:rPr>
                <w:rFonts w:hint="eastAsia" w:ascii="宋体" w:hAnsi="宋体" w:eastAsia="宋体" w:cs="宋体"/>
                <w:color w:val="auto"/>
                <w:spacing w:val="-9"/>
                <w:sz w:val="21"/>
                <w:szCs w:val="21"/>
              </w:rPr>
              <w:t>由评价组综合判断</w:t>
            </w:r>
            <w:r>
              <w:rPr>
                <w:rFonts w:hint="eastAsia" w:ascii="宋体" w:hAnsi="宋体" w:eastAsia="宋体" w:cs="宋体"/>
                <w:color w:val="auto"/>
                <w:spacing w:val="-9"/>
                <w:sz w:val="21"/>
                <w:szCs w:val="21"/>
                <w:lang w:eastAsia="zh-CN"/>
              </w:rPr>
              <w:t>。</w:t>
            </w:r>
          </w:p>
        </w:tc>
      </w:tr>
      <w:tr w14:paraId="1B8116F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atLeast"/>
          <w:jc w:val="center"/>
        </w:trPr>
        <w:tc>
          <w:tcPr>
            <w:tcW w:w="1290" w:type="dxa"/>
            <w:vMerge w:val="continue"/>
            <w:tcBorders>
              <w:tl2br w:val="nil"/>
              <w:tr2bl w:val="nil"/>
            </w:tcBorders>
            <w:vAlign w:val="center"/>
          </w:tcPr>
          <w:p w14:paraId="289B83BE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336" w:type="dxa"/>
            <w:vMerge w:val="continue"/>
            <w:tcBorders>
              <w:tl2br w:val="nil"/>
              <w:tr2bl w:val="nil"/>
            </w:tcBorders>
            <w:vAlign w:val="center"/>
          </w:tcPr>
          <w:p w14:paraId="6FA3C100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285" w:type="dxa"/>
            <w:vMerge w:val="continue"/>
            <w:tcBorders>
              <w:tl2br w:val="nil"/>
              <w:tr2bl w:val="nil"/>
            </w:tcBorders>
            <w:vAlign w:val="center"/>
          </w:tcPr>
          <w:p w14:paraId="733E301F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848" w:type="dxa"/>
            <w:tcBorders>
              <w:tl2br w:val="nil"/>
              <w:tr2bl w:val="nil"/>
            </w:tcBorders>
            <w:vAlign w:val="center"/>
          </w:tcPr>
          <w:p w14:paraId="59729235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/>
              </w:rPr>
            </w:pPr>
            <w:bookmarkStart w:id="0" w:name="OLE_LINK3"/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领衔人</w:t>
            </w:r>
            <w:bookmarkEnd w:id="0"/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lang w:val="en-US" w:eastAsia="zh-CN"/>
              </w:rPr>
              <w:t>发挥作用</w:t>
            </w:r>
          </w:p>
        </w:tc>
        <w:tc>
          <w:tcPr>
            <w:tcW w:w="5131" w:type="dxa"/>
            <w:tcBorders>
              <w:tl2br w:val="nil"/>
              <w:tr2bl w:val="nil"/>
            </w:tcBorders>
            <w:vAlign w:val="center"/>
          </w:tcPr>
          <w:p w14:paraId="701CE33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rightChars="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领衔人参与创新攻关(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0.5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分)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开展带徒传技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培训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0.5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分)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。</w:t>
            </w: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3FCA93C1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rightChars="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3827" w:type="dxa"/>
            <w:tcBorders>
              <w:tl2br w:val="nil"/>
              <w:tr2bl w:val="nil"/>
            </w:tcBorders>
            <w:vAlign w:val="center"/>
          </w:tcPr>
          <w:p w14:paraId="4EB6D44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rightChars="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提供领衔人开展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lang w:val="en-US" w:eastAsia="zh-CN"/>
              </w:rPr>
              <w:t>活动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的通</w:t>
            </w:r>
            <w:r>
              <w:rPr>
                <w:rFonts w:hint="eastAsia" w:ascii="宋体" w:hAnsi="宋体" w:eastAsia="宋体" w:cs="宋体"/>
                <w:color w:val="auto"/>
                <w:spacing w:val="-9"/>
                <w:sz w:val="21"/>
                <w:szCs w:val="21"/>
              </w:rPr>
              <w:t>知、签到表、照片</w:t>
            </w:r>
            <w:r>
              <w:rPr>
                <w:rFonts w:hint="eastAsia" w:ascii="宋体" w:hAnsi="宋体" w:eastAsia="宋体" w:cs="宋体"/>
                <w:color w:val="auto"/>
                <w:spacing w:val="-9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pacing w:val="-9"/>
                <w:sz w:val="21"/>
                <w:szCs w:val="21"/>
                <w:lang w:val="en-US" w:eastAsia="zh-CN"/>
              </w:rPr>
              <w:t>成果</w:t>
            </w:r>
            <w:r>
              <w:rPr>
                <w:rFonts w:hint="eastAsia" w:ascii="宋体" w:hAnsi="宋体" w:eastAsia="宋体" w:cs="宋体"/>
                <w:color w:val="auto"/>
                <w:spacing w:val="-9"/>
                <w:sz w:val="21"/>
                <w:szCs w:val="21"/>
              </w:rPr>
              <w:t>等相关活动资料</w:t>
            </w:r>
            <w:r>
              <w:rPr>
                <w:rFonts w:hint="eastAsia" w:ascii="宋体" w:hAnsi="宋体" w:eastAsia="宋体" w:cs="宋体"/>
                <w:color w:val="auto"/>
                <w:spacing w:val="-9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eastAsia" w:ascii="宋体" w:hAnsi="宋体" w:eastAsia="宋体" w:cs="宋体"/>
                <w:color w:val="auto"/>
                <w:spacing w:val="-9"/>
                <w:sz w:val="21"/>
                <w:szCs w:val="21"/>
              </w:rPr>
              <w:t>由评价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组综合判断。</w:t>
            </w:r>
          </w:p>
        </w:tc>
      </w:tr>
      <w:tr w14:paraId="4118ECE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  <w:jc w:val="center"/>
        </w:trPr>
        <w:tc>
          <w:tcPr>
            <w:tcW w:w="1290" w:type="dxa"/>
            <w:vMerge w:val="continue"/>
            <w:tcBorders>
              <w:tl2br w:val="nil"/>
              <w:tr2bl w:val="nil"/>
            </w:tcBorders>
            <w:vAlign w:val="center"/>
          </w:tcPr>
          <w:p w14:paraId="0867390B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336" w:type="dxa"/>
            <w:vMerge w:val="continue"/>
            <w:tcBorders>
              <w:tl2br w:val="nil"/>
              <w:tr2bl w:val="nil"/>
            </w:tcBorders>
            <w:vAlign w:val="center"/>
          </w:tcPr>
          <w:p w14:paraId="58EC5077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285" w:type="dxa"/>
            <w:vMerge w:val="restart"/>
            <w:tcBorders>
              <w:tl2br w:val="nil"/>
              <w:tr2bl w:val="nil"/>
            </w:tcBorders>
            <w:vAlign w:val="center"/>
          </w:tcPr>
          <w:p w14:paraId="4A980431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1.2工作团队</w:t>
            </w:r>
          </w:p>
          <w:p w14:paraId="34FF4BE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12"/>
                <w:sz w:val="21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color w:val="auto"/>
                <w:spacing w:val="12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pacing w:val="12"/>
                <w:sz w:val="21"/>
                <w:szCs w:val="21"/>
              </w:rPr>
              <w:t>分)</w:t>
            </w:r>
          </w:p>
        </w:tc>
        <w:tc>
          <w:tcPr>
            <w:tcW w:w="1848" w:type="dxa"/>
            <w:vMerge w:val="restart"/>
            <w:tcBorders>
              <w:tl2br w:val="nil"/>
              <w:tr2bl w:val="nil"/>
            </w:tcBorders>
            <w:vAlign w:val="center"/>
          </w:tcPr>
          <w:p w14:paraId="3F7FB20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</w:rPr>
              <w:t>分工合理，各司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其</w:t>
            </w:r>
            <w:r>
              <w:rPr>
                <w:rFonts w:hint="eastAsia" w:ascii="宋体" w:hAnsi="宋体" w:eastAsia="宋体" w:cs="宋体"/>
                <w:color w:val="auto"/>
                <w:spacing w:val="4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职，团结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lang w:val="en-US" w:eastAsia="zh-CN"/>
              </w:rPr>
              <w:t>协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作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5131" w:type="dxa"/>
            <w:tcBorders>
              <w:tl2br w:val="nil"/>
              <w:tr2bl w:val="nil"/>
            </w:tcBorders>
            <w:vAlign w:val="center"/>
          </w:tcPr>
          <w:p w14:paraId="6CEDD04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工作室组织机构健全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0.5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分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。</w:t>
            </w: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0BD3FDBC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3827" w:type="dxa"/>
            <w:vMerge w:val="restart"/>
            <w:tcBorders>
              <w:tl2br w:val="nil"/>
              <w:tr2bl w:val="nil"/>
            </w:tcBorders>
            <w:vAlign w:val="center"/>
          </w:tcPr>
          <w:p w14:paraId="7878D827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9"/>
                <w:sz w:val="21"/>
                <w:szCs w:val="21"/>
              </w:rPr>
              <w:t>提供团队基本情况介绍、</w:t>
            </w:r>
            <w:r>
              <w:rPr>
                <w:rFonts w:hint="eastAsia" w:ascii="宋体" w:hAnsi="宋体" w:eastAsia="宋体" w:cs="宋体"/>
                <w:color w:val="auto"/>
                <w:spacing w:val="-9"/>
                <w:sz w:val="21"/>
                <w:szCs w:val="21"/>
                <w:lang w:val="en-US" w:eastAsia="zh-CN"/>
              </w:rPr>
              <w:t>自工作室成立以来的</w:t>
            </w:r>
            <w:r>
              <w:rPr>
                <w:rFonts w:hint="eastAsia" w:ascii="宋体" w:hAnsi="宋体" w:eastAsia="宋体" w:cs="宋体"/>
                <w:color w:val="auto"/>
                <w:spacing w:val="-9"/>
                <w:sz w:val="21"/>
                <w:szCs w:val="21"/>
              </w:rPr>
              <w:t>成员名</w:t>
            </w:r>
            <w:r>
              <w:rPr>
                <w:rFonts w:hint="eastAsia" w:ascii="宋体" w:hAnsi="宋体" w:eastAsia="宋体" w:cs="宋体"/>
                <w:color w:val="auto"/>
                <w:spacing w:val="-9"/>
                <w:sz w:val="21"/>
                <w:szCs w:val="21"/>
                <w:lang w:val="en-US" w:eastAsia="zh-CN"/>
              </w:rPr>
              <w:t>册</w:t>
            </w:r>
            <w:r>
              <w:rPr>
                <w:rFonts w:hint="eastAsia" w:ascii="宋体" w:hAnsi="宋体" w:eastAsia="宋体" w:cs="宋体"/>
                <w:color w:val="auto"/>
                <w:spacing w:val="-9"/>
                <w:sz w:val="21"/>
                <w:szCs w:val="21"/>
              </w:rPr>
              <w:t>、组织机构图等，以正式发布文件为主要依据；由评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价组综合判断。</w:t>
            </w:r>
          </w:p>
        </w:tc>
      </w:tr>
      <w:tr w14:paraId="5A6389F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  <w:jc w:val="center"/>
        </w:trPr>
        <w:tc>
          <w:tcPr>
            <w:tcW w:w="1290" w:type="dxa"/>
            <w:vMerge w:val="continue"/>
            <w:tcBorders>
              <w:tl2br w:val="nil"/>
              <w:tr2bl w:val="nil"/>
            </w:tcBorders>
            <w:vAlign w:val="center"/>
          </w:tcPr>
          <w:p w14:paraId="169BAC30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336" w:type="dxa"/>
            <w:vMerge w:val="continue"/>
            <w:tcBorders>
              <w:tl2br w:val="nil"/>
              <w:tr2bl w:val="nil"/>
            </w:tcBorders>
            <w:vAlign w:val="center"/>
          </w:tcPr>
          <w:p w14:paraId="00E47236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285" w:type="dxa"/>
            <w:vMerge w:val="continue"/>
            <w:tcBorders>
              <w:tl2br w:val="nil"/>
              <w:tr2bl w:val="nil"/>
            </w:tcBorders>
            <w:vAlign w:val="center"/>
          </w:tcPr>
          <w:p w14:paraId="191D15B4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848" w:type="dxa"/>
            <w:vMerge w:val="continue"/>
            <w:tcBorders>
              <w:tl2br w:val="nil"/>
              <w:tr2bl w:val="nil"/>
            </w:tcBorders>
            <w:vAlign w:val="center"/>
          </w:tcPr>
          <w:p w14:paraId="44083067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5131" w:type="dxa"/>
            <w:tcBorders>
              <w:tl2br w:val="nil"/>
              <w:tr2bl w:val="nil"/>
            </w:tcBorders>
            <w:vAlign w:val="center"/>
          </w:tcPr>
          <w:p w14:paraId="68F394E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2"/>
                <w:sz w:val="21"/>
                <w:szCs w:val="21"/>
              </w:rPr>
              <w:t>团队成员</w:t>
            </w:r>
            <w:r>
              <w:rPr>
                <w:rFonts w:hint="eastAsia" w:ascii="宋体" w:hAnsi="宋体" w:eastAsia="宋体" w:cs="宋体"/>
                <w:color w:val="auto"/>
                <w:spacing w:val="2"/>
                <w:sz w:val="21"/>
                <w:szCs w:val="21"/>
                <w:lang w:val="en-US" w:eastAsia="zh-CN"/>
              </w:rPr>
              <w:t>6人及以上的稳定人员（0.5分），且</w:t>
            </w:r>
            <w:r>
              <w:rPr>
                <w:rFonts w:hint="eastAsia" w:ascii="宋体" w:hAnsi="宋体" w:eastAsia="宋体" w:cs="宋体"/>
                <w:color w:val="auto"/>
                <w:spacing w:val="2"/>
                <w:sz w:val="21"/>
                <w:szCs w:val="21"/>
              </w:rPr>
              <w:t>分工合理</w:t>
            </w:r>
            <w:r>
              <w:rPr>
                <w:rFonts w:hint="eastAsia" w:ascii="宋体" w:hAnsi="宋体" w:eastAsia="宋体" w:cs="宋体"/>
                <w:color w:val="auto"/>
                <w:spacing w:val="2"/>
                <w:sz w:val="21"/>
                <w:szCs w:val="21"/>
                <w:lang w:val="en-US" w:eastAsia="zh-CN"/>
              </w:rPr>
              <w:t>（0.5分）</w:t>
            </w:r>
            <w:r>
              <w:rPr>
                <w:rFonts w:hint="eastAsia" w:ascii="宋体" w:hAnsi="宋体" w:eastAsia="宋体" w:cs="宋体"/>
                <w:color w:val="auto"/>
                <w:spacing w:val="2"/>
                <w:sz w:val="21"/>
                <w:szCs w:val="21"/>
              </w:rPr>
              <w:t>、责任明确(</w:t>
            </w:r>
            <w:r>
              <w:rPr>
                <w:rFonts w:hint="eastAsia" w:ascii="宋体" w:hAnsi="宋体" w:eastAsia="宋体" w:cs="宋体"/>
                <w:color w:val="auto"/>
                <w:spacing w:val="2"/>
                <w:sz w:val="21"/>
                <w:szCs w:val="21"/>
                <w:lang w:val="en-US" w:eastAsia="zh-CN"/>
              </w:rPr>
              <w:t>0.5</w:t>
            </w:r>
            <w:r>
              <w:rPr>
                <w:rFonts w:hint="eastAsia" w:ascii="宋体" w:hAnsi="宋体" w:eastAsia="宋体" w:cs="宋体"/>
                <w:color w:val="auto"/>
                <w:spacing w:val="2"/>
                <w:sz w:val="21"/>
                <w:szCs w:val="21"/>
              </w:rPr>
              <w:t>分)</w:t>
            </w:r>
            <w:r>
              <w:rPr>
                <w:rFonts w:hint="eastAsia" w:ascii="宋体" w:hAnsi="宋体" w:eastAsia="宋体" w:cs="宋体"/>
                <w:color w:val="auto"/>
                <w:spacing w:val="2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78ACF1A7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3827" w:type="dxa"/>
            <w:vMerge w:val="continue"/>
            <w:tcBorders>
              <w:tl2br w:val="nil"/>
              <w:tr2bl w:val="nil"/>
            </w:tcBorders>
            <w:vAlign w:val="center"/>
          </w:tcPr>
          <w:p w14:paraId="0742511F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 w14:paraId="08FE652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2" w:hRule="atLeast"/>
          <w:jc w:val="center"/>
        </w:trPr>
        <w:tc>
          <w:tcPr>
            <w:tcW w:w="1290" w:type="dxa"/>
            <w:vMerge w:val="continue"/>
            <w:tcBorders>
              <w:tl2br w:val="nil"/>
              <w:tr2bl w:val="nil"/>
            </w:tcBorders>
            <w:vAlign w:val="center"/>
          </w:tcPr>
          <w:p w14:paraId="6F6949CF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336" w:type="dxa"/>
            <w:vMerge w:val="restart"/>
            <w:tcBorders>
              <w:tl2br w:val="nil"/>
              <w:tr2bl w:val="nil"/>
            </w:tcBorders>
            <w:vAlign w:val="center"/>
          </w:tcPr>
          <w:p w14:paraId="49CAEB2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1"/>
                <w:sz w:val="21"/>
                <w:szCs w:val="21"/>
              </w:rPr>
              <w:t>2.场所设施</w:t>
            </w:r>
          </w:p>
          <w:p w14:paraId="0CC745D1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1"/>
                <w:szCs w:val="21"/>
              </w:rPr>
              <w:t>保障</w:t>
            </w:r>
            <w:r>
              <w:rPr>
                <w:rFonts w:hint="eastAsia" w:ascii="宋体" w:hAnsi="宋体" w:eastAsia="宋体" w:cs="宋体"/>
                <w:color w:val="auto"/>
                <w:spacing w:val="10"/>
                <w:sz w:val="21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color w:val="auto"/>
                <w:spacing w:val="1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pacing w:val="10"/>
                <w:sz w:val="21"/>
                <w:szCs w:val="21"/>
              </w:rPr>
              <w:t>分)</w:t>
            </w:r>
          </w:p>
        </w:tc>
        <w:tc>
          <w:tcPr>
            <w:tcW w:w="1285" w:type="dxa"/>
            <w:tcBorders>
              <w:tl2br w:val="nil"/>
              <w:tr2bl w:val="nil"/>
            </w:tcBorders>
            <w:vAlign w:val="center"/>
          </w:tcPr>
          <w:p w14:paraId="12D41FC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2.1活动场所</w:t>
            </w:r>
          </w:p>
          <w:p w14:paraId="1C1B9821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12"/>
                <w:sz w:val="21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color w:val="auto"/>
                <w:spacing w:val="12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pacing w:val="12"/>
                <w:sz w:val="21"/>
                <w:szCs w:val="21"/>
              </w:rPr>
              <w:t>分)</w:t>
            </w:r>
          </w:p>
        </w:tc>
        <w:tc>
          <w:tcPr>
            <w:tcW w:w="1848" w:type="dxa"/>
            <w:tcBorders>
              <w:tl2br w:val="nil"/>
              <w:tr2bl w:val="nil"/>
            </w:tcBorders>
            <w:vAlign w:val="center"/>
          </w:tcPr>
          <w:p w14:paraId="6585CB4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1"/>
                <w:sz w:val="21"/>
                <w:szCs w:val="21"/>
              </w:rPr>
              <w:t>活动场所符合实际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工作需要</w:t>
            </w:r>
          </w:p>
        </w:tc>
        <w:tc>
          <w:tcPr>
            <w:tcW w:w="5131" w:type="dxa"/>
            <w:tcBorders>
              <w:tl2br w:val="nil"/>
              <w:tr2bl w:val="nil"/>
            </w:tcBorders>
            <w:vAlign w:val="center"/>
          </w:tcPr>
          <w:p w14:paraId="27A231C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活动场所</w:t>
            </w:r>
            <w:r>
              <w:rPr>
                <w:rFonts w:hint="eastAsia" w:ascii="宋体" w:hAnsi="宋体" w:eastAsia="宋体" w:cs="宋体"/>
                <w:color w:val="auto"/>
                <w:spacing w:val="3"/>
                <w:sz w:val="21"/>
                <w:szCs w:val="21"/>
              </w:rPr>
              <w:t>规模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满足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办公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lang w:val="en-US" w:eastAsia="zh-CN"/>
              </w:rPr>
              <w:t>展示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0.5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分)、交流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培训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0.5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分)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等功能。</w:t>
            </w: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38E537D7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3827" w:type="dxa"/>
            <w:tcBorders>
              <w:tl2br w:val="nil"/>
              <w:tr2bl w:val="nil"/>
            </w:tcBorders>
            <w:vAlign w:val="center"/>
          </w:tcPr>
          <w:p w14:paraId="4800E2E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9"/>
                <w:sz w:val="21"/>
                <w:szCs w:val="21"/>
              </w:rPr>
              <w:t>提供活动场所照片等</w:t>
            </w:r>
            <w:r>
              <w:rPr>
                <w:rFonts w:hint="eastAsia" w:ascii="宋体" w:hAnsi="宋体" w:eastAsia="宋体" w:cs="宋体"/>
                <w:color w:val="auto"/>
                <w:spacing w:val="-9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eastAsia" w:ascii="宋体" w:hAnsi="宋体" w:eastAsia="宋体" w:cs="宋体"/>
                <w:color w:val="auto"/>
                <w:spacing w:val="-9"/>
                <w:sz w:val="21"/>
                <w:szCs w:val="21"/>
              </w:rPr>
              <w:t>由评价组现场评估得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</w:rPr>
              <w:t>分。</w:t>
            </w:r>
          </w:p>
        </w:tc>
      </w:tr>
      <w:tr w14:paraId="5B27810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1290" w:type="dxa"/>
            <w:vMerge w:val="continue"/>
            <w:tcBorders>
              <w:tl2br w:val="nil"/>
              <w:tr2bl w:val="nil"/>
            </w:tcBorders>
            <w:vAlign w:val="center"/>
          </w:tcPr>
          <w:p w14:paraId="1AC462C6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336" w:type="dxa"/>
            <w:vMerge w:val="continue"/>
            <w:tcBorders>
              <w:tl2br w:val="nil"/>
              <w:tr2bl w:val="nil"/>
            </w:tcBorders>
            <w:vAlign w:val="center"/>
          </w:tcPr>
          <w:p w14:paraId="714E9AEA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285" w:type="dxa"/>
            <w:vMerge w:val="restart"/>
            <w:tcBorders>
              <w:tl2br w:val="nil"/>
              <w:tr2bl w:val="nil"/>
            </w:tcBorders>
            <w:vAlign w:val="center"/>
          </w:tcPr>
          <w:p w14:paraId="62EF63F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</w:rPr>
              <w:t>2.2设备设施</w:t>
            </w:r>
          </w:p>
          <w:p w14:paraId="1C766E5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12"/>
                <w:sz w:val="21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color w:val="auto"/>
                <w:spacing w:val="12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pacing w:val="12"/>
                <w:sz w:val="21"/>
                <w:szCs w:val="21"/>
              </w:rPr>
              <w:t>分)</w:t>
            </w:r>
          </w:p>
        </w:tc>
        <w:tc>
          <w:tcPr>
            <w:tcW w:w="1848" w:type="dxa"/>
            <w:vMerge w:val="restart"/>
            <w:tcBorders>
              <w:tl2br w:val="nil"/>
              <w:tr2bl w:val="nil"/>
            </w:tcBorders>
            <w:vAlign w:val="center"/>
          </w:tcPr>
          <w:p w14:paraId="720F445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1"/>
                <w:sz w:val="21"/>
                <w:szCs w:val="21"/>
              </w:rPr>
              <w:t>设备设施满足实际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工作需要</w:t>
            </w:r>
          </w:p>
        </w:tc>
        <w:tc>
          <w:tcPr>
            <w:tcW w:w="5131" w:type="dxa"/>
            <w:tcBorders>
              <w:bottom w:val="single" w:color="auto" w:sz="4" w:space="0"/>
              <w:tl2br w:val="nil"/>
              <w:tr2bl w:val="nil"/>
            </w:tcBorders>
            <w:vAlign w:val="center"/>
          </w:tcPr>
          <w:p w14:paraId="2E367C2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建立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lang w:val="en-US" w:eastAsia="zh-CN"/>
              </w:rPr>
              <w:t>管理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台账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数量及功能满足工作室实际工作需要(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0.5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分)。</w:t>
            </w:r>
          </w:p>
        </w:tc>
        <w:tc>
          <w:tcPr>
            <w:tcW w:w="853" w:type="dxa"/>
            <w:tcBorders>
              <w:bottom w:val="single" w:color="auto" w:sz="4" w:space="0"/>
              <w:tl2br w:val="nil"/>
              <w:tr2bl w:val="nil"/>
            </w:tcBorders>
            <w:vAlign w:val="center"/>
          </w:tcPr>
          <w:p w14:paraId="0CCBBC9D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3827" w:type="dxa"/>
            <w:vMerge w:val="restart"/>
            <w:tcBorders>
              <w:tl2br w:val="nil"/>
              <w:tr2bl w:val="nil"/>
            </w:tcBorders>
            <w:vAlign w:val="center"/>
          </w:tcPr>
          <w:p w14:paraId="6CA30B1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9"/>
                <w:sz w:val="21"/>
                <w:szCs w:val="21"/>
              </w:rPr>
              <w:t>提供设备设施台账、主要设备设施照片、维护保养记录等：由评价组结合分析材料和考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察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lang w:val="en-US" w:eastAsia="zh-CN"/>
              </w:rPr>
              <w:t>现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场综合判断。</w:t>
            </w:r>
          </w:p>
        </w:tc>
      </w:tr>
      <w:tr w14:paraId="3A36087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  <w:jc w:val="center"/>
        </w:trPr>
        <w:tc>
          <w:tcPr>
            <w:tcW w:w="1290" w:type="dxa"/>
            <w:vMerge w:val="continue"/>
            <w:tcBorders>
              <w:tl2br w:val="nil"/>
              <w:tr2bl w:val="nil"/>
            </w:tcBorders>
            <w:vAlign w:val="center"/>
          </w:tcPr>
          <w:p w14:paraId="5A51066B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336" w:type="dxa"/>
            <w:vMerge w:val="continue"/>
            <w:tcBorders>
              <w:tl2br w:val="nil"/>
              <w:tr2bl w:val="nil"/>
            </w:tcBorders>
            <w:vAlign w:val="center"/>
          </w:tcPr>
          <w:p w14:paraId="476ECBF9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285" w:type="dxa"/>
            <w:vMerge w:val="continue"/>
            <w:tcBorders>
              <w:tl2br w:val="nil"/>
              <w:tr2bl w:val="nil"/>
            </w:tcBorders>
            <w:vAlign w:val="center"/>
          </w:tcPr>
          <w:p w14:paraId="08AF58BC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pacing w:val="12"/>
                <w:sz w:val="21"/>
                <w:szCs w:val="21"/>
              </w:rPr>
            </w:pPr>
          </w:p>
        </w:tc>
        <w:tc>
          <w:tcPr>
            <w:tcW w:w="1848" w:type="dxa"/>
            <w:vMerge w:val="continue"/>
            <w:tcBorders>
              <w:tl2br w:val="nil"/>
              <w:tr2bl w:val="nil"/>
            </w:tcBorders>
            <w:vAlign w:val="center"/>
          </w:tcPr>
          <w:p w14:paraId="1FA89CB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pacing w:val="1"/>
                <w:sz w:val="21"/>
                <w:szCs w:val="21"/>
              </w:rPr>
            </w:pPr>
          </w:p>
        </w:tc>
        <w:tc>
          <w:tcPr>
            <w:tcW w:w="5131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0186DF0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设备设施维护保养责任到位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工作到位(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0.5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分)。</w:t>
            </w:r>
          </w:p>
        </w:tc>
        <w:tc>
          <w:tcPr>
            <w:tcW w:w="853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29674F2A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3827" w:type="dxa"/>
            <w:vMerge w:val="continue"/>
            <w:tcBorders>
              <w:tl2br w:val="nil"/>
              <w:tr2bl w:val="nil"/>
            </w:tcBorders>
            <w:vAlign w:val="center"/>
          </w:tcPr>
          <w:p w14:paraId="4A2682C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pacing w:val="-9"/>
                <w:sz w:val="21"/>
                <w:szCs w:val="21"/>
              </w:rPr>
            </w:pPr>
          </w:p>
        </w:tc>
      </w:tr>
      <w:tr w14:paraId="281427D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290" w:type="dxa"/>
            <w:vMerge w:val="continue"/>
            <w:tcBorders>
              <w:tl2br w:val="nil"/>
              <w:tr2bl w:val="nil"/>
            </w:tcBorders>
            <w:vAlign w:val="center"/>
          </w:tcPr>
          <w:p w14:paraId="563C003A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336" w:type="dxa"/>
            <w:vMerge w:val="restart"/>
            <w:tcBorders>
              <w:tl2br w:val="nil"/>
              <w:tr2bl w:val="nil"/>
            </w:tcBorders>
            <w:vAlign w:val="center"/>
          </w:tcPr>
          <w:p w14:paraId="3CDD6D6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1"/>
                <w:sz w:val="21"/>
                <w:szCs w:val="21"/>
              </w:rPr>
              <w:t>3.机制建设</w:t>
            </w:r>
          </w:p>
          <w:p w14:paraId="26AE1317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10"/>
                <w:sz w:val="21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color w:val="auto"/>
                <w:spacing w:val="10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spacing w:val="10"/>
                <w:sz w:val="21"/>
                <w:szCs w:val="21"/>
              </w:rPr>
              <w:t>分)</w:t>
            </w:r>
          </w:p>
        </w:tc>
        <w:tc>
          <w:tcPr>
            <w:tcW w:w="1285" w:type="dxa"/>
            <w:vMerge w:val="restart"/>
            <w:tcBorders>
              <w:tl2br w:val="nil"/>
              <w:tr2bl w:val="nil"/>
            </w:tcBorders>
            <w:vAlign w:val="center"/>
          </w:tcPr>
          <w:p w14:paraId="7029EE5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</w:rPr>
              <w:t>3.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</w:rPr>
              <w:t>管理制度</w:t>
            </w:r>
          </w:p>
          <w:p w14:paraId="782FF45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12"/>
                <w:sz w:val="21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color w:val="auto"/>
                <w:spacing w:val="12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pacing w:val="12"/>
                <w:sz w:val="21"/>
                <w:szCs w:val="21"/>
              </w:rPr>
              <w:t>分)</w:t>
            </w:r>
          </w:p>
        </w:tc>
        <w:tc>
          <w:tcPr>
            <w:tcW w:w="1848" w:type="dxa"/>
            <w:vMerge w:val="restart"/>
            <w:tcBorders>
              <w:tl2br w:val="nil"/>
              <w:tr2bl w:val="nil"/>
            </w:tcBorders>
            <w:vAlign w:val="center"/>
          </w:tcPr>
          <w:p w14:paraId="7904AB4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管理运行、考核奖</w:t>
            </w:r>
            <w:r>
              <w:rPr>
                <w:rFonts w:hint="eastAsia" w:ascii="宋体" w:hAnsi="宋体" w:eastAsia="宋体" w:cs="宋体"/>
                <w:color w:val="auto"/>
                <w:spacing w:val="-9"/>
                <w:sz w:val="21"/>
                <w:szCs w:val="21"/>
              </w:rPr>
              <w:t>励、成果转化等制度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</w:rPr>
              <w:t>健全完善。</w:t>
            </w:r>
          </w:p>
        </w:tc>
        <w:tc>
          <w:tcPr>
            <w:tcW w:w="51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32D85C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rightChars="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有工作室日常工作管理制度(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分)。</w:t>
            </w: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209D9B4B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3827" w:type="dxa"/>
            <w:vMerge w:val="restart"/>
            <w:tcBorders>
              <w:tl2br w:val="nil"/>
              <w:tr2bl w:val="nil"/>
            </w:tcBorders>
            <w:vAlign w:val="center"/>
          </w:tcPr>
          <w:p w14:paraId="62492D6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1"/>
                <w:szCs w:val="21"/>
              </w:rPr>
              <w:t>提供工作室日常工作管理制度、工作室(或</w:t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单位)考核奖励制度、工作室(或单位)成</w:t>
            </w:r>
            <w:r>
              <w:rPr>
                <w:rFonts w:hint="eastAsia" w:ascii="宋体" w:hAnsi="宋体" w:eastAsia="宋体" w:cs="宋体"/>
                <w:color w:val="auto"/>
                <w:spacing w:val="-9"/>
                <w:sz w:val="21"/>
                <w:szCs w:val="21"/>
              </w:rPr>
              <w:t>果转化推广制度及相关记录等</w:t>
            </w:r>
            <w:r>
              <w:rPr>
                <w:rFonts w:hint="eastAsia" w:ascii="宋体" w:hAnsi="宋体" w:eastAsia="宋体" w:cs="宋体"/>
                <w:color w:val="auto"/>
                <w:spacing w:val="-9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eastAsia" w:ascii="宋体" w:hAnsi="宋体" w:eastAsia="宋体" w:cs="宋体"/>
                <w:color w:val="auto"/>
                <w:spacing w:val="-9"/>
                <w:sz w:val="21"/>
                <w:szCs w:val="21"/>
              </w:rPr>
              <w:t>由评价组综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</w:rPr>
              <w:t>合判断。</w:t>
            </w:r>
          </w:p>
        </w:tc>
      </w:tr>
      <w:tr w14:paraId="662DBA4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290" w:type="dxa"/>
            <w:vMerge w:val="continue"/>
            <w:tcBorders>
              <w:tl2br w:val="nil"/>
              <w:tr2bl w:val="nil"/>
            </w:tcBorders>
            <w:vAlign w:val="center"/>
          </w:tcPr>
          <w:p w14:paraId="602E851B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336" w:type="dxa"/>
            <w:vMerge w:val="continue"/>
            <w:tcBorders>
              <w:tl2br w:val="nil"/>
              <w:tr2bl w:val="nil"/>
            </w:tcBorders>
            <w:vAlign w:val="center"/>
          </w:tcPr>
          <w:p w14:paraId="51AE5F07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285" w:type="dxa"/>
            <w:vMerge w:val="continue"/>
            <w:tcBorders>
              <w:tl2br w:val="nil"/>
              <w:tr2bl w:val="nil"/>
            </w:tcBorders>
            <w:vAlign w:val="center"/>
          </w:tcPr>
          <w:p w14:paraId="360109CA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848" w:type="dxa"/>
            <w:vMerge w:val="continue"/>
            <w:tcBorders>
              <w:tl2br w:val="nil"/>
              <w:tr2bl w:val="nil"/>
            </w:tcBorders>
            <w:vAlign w:val="center"/>
          </w:tcPr>
          <w:p w14:paraId="6FE46C64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51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C3E2F7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rightChars="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有工作室(或单位)考核奖励制度(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0.5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分)。</w:t>
            </w: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39DBF2CC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3827" w:type="dxa"/>
            <w:vMerge w:val="continue"/>
            <w:tcBorders>
              <w:tl2br w:val="nil"/>
              <w:tr2bl w:val="nil"/>
            </w:tcBorders>
            <w:vAlign w:val="center"/>
          </w:tcPr>
          <w:p w14:paraId="7210F873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 w14:paraId="3069F48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290" w:type="dxa"/>
            <w:vMerge w:val="continue"/>
            <w:tcBorders>
              <w:tl2br w:val="nil"/>
              <w:tr2bl w:val="nil"/>
            </w:tcBorders>
            <w:vAlign w:val="center"/>
          </w:tcPr>
          <w:p w14:paraId="790704AB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336" w:type="dxa"/>
            <w:vMerge w:val="continue"/>
            <w:tcBorders>
              <w:tl2br w:val="nil"/>
              <w:tr2bl w:val="nil"/>
            </w:tcBorders>
            <w:vAlign w:val="center"/>
          </w:tcPr>
          <w:p w14:paraId="0CFFB73A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285" w:type="dxa"/>
            <w:vMerge w:val="continue"/>
            <w:tcBorders>
              <w:tl2br w:val="nil"/>
              <w:tr2bl w:val="nil"/>
            </w:tcBorders>
            <w:vAlign w:val="center"/>
          </w:tcPr>
          <w:p w14:paraId="7B5E419B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848" w:type="dxa"/>
            <w:vMerge w:val="continue"/>
            <w:tcBorders>
              <w:tl2br w:val="nil"/>
              <w:tr2bl w:val="nil"/>
            </w:tcBorders>
            <w:vAlign w:val="center"/>
          </w:tcPr>
          <w:p w14:paraId="1228A043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51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66F21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rightChars="0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有工作室(或单位)成果转化推广制度(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0.5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分)。</w:t>
            </w: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7863768B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3827" w:type="dxa"/>
            <w:vMerge w:val="continue"/>
            <w:tcBorders>
              <w:tl2br w:val="nil"/>
              <w:tr2bl w:val="nil"/>
            </w:tcBorders>
            <w:vAlign w:val="center"/>
          </w:tcPr>
          <w:p w14:paraId="1CC6AFC5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 w14:paraId="4DFD142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290" w:type="dxa"/>
            <w:vMerge w:val="continue"/>
            <w:tcBorders>
              <w:tl2br w:val="nil"/>
              <w:tr2bl w:val="nil"/>
            </w:tcBorders>
            <w:vAlign w:val="center"/>
          </w:tcPr>
          <w:p w14:paraId="4F65F0CA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336" w:type="dxa"/>
            <w:vMerge w:val="continue"/>
            <w:tcBorders>
              <w:tl2br w:val="nil"/>
              <w:tr2bl w:val="nil"/>
            </w:tcBorders>
            <w:vAlign w:val="center"/>
          </w:tcPr>
          <w:p w14:paraId="14463E6D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285" w:type="dxa"/>
            <w:vMerge w:val="restart"/>
            <w:tcBorders>
              <w:tl2br w:val="nil"/>
              <w:tr2bl w:val="nil"/>
            </w:tcBorders>
            <w:vAlign w:val="center"/>
          </w:tcPr>
          <w:p w14:paraId="471B6CF7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1"/>
                <w:sz w:val="21"/>
                <w:szCs w:val="21"/>
              </w:rPr>
              <w:t>3.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21"/>
                <w:szCs w:val="21"/>
              </w:rPr>
              <w:t>工作经费</w:t>
            </w:r>
            <w:r>
              <w:rPr>
                <w:rFonts w:hint="eastAsia" w:ascii="宋体" w:hAnsi="宋体" w:eastAsia="宋体" w:cs="宋体"/>
                <w:color w:val="auto"/>
                <w:spacing w:val="12"/>
                <w:sz w:val="21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color w:val="auto"/>
                <w:spacing w:val="12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pacing w:val="12"/>
                <w:sz w:val="21"/>
                <w:szCs w:val="21"/>
              </w:rPr>
              <w:t>分)</w:t>
            </w:r>
          </w:p>
        </w:tc>
        <w:tc>
          <w:tcPr>
            <w:tcW w:w="1848" w:type="dxa"/>
            <w:vMerge w:val="restart"/>
            <w:tcBorders>
              <w:tl2br w:val="nil"/>
              <w:tr2bl w:val="nil"/>
            </w:tcBorders>
            <w:vAlign w:val="center"/>
          </w:tcPr>
          <w:p w14:paraId="048CD091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1"/>
                <w:szCs w:val="21"/>
              </w:rPr>
              <w:t>工作经费满足实际</w:t>
            </w:r>
            <w:r>
              <w:rPr>
                <w:rFonts w:hint="eastAsia" w:ascii="宋体" w:hAnsi="宋体" w:eastAsia="宋体" w:cs="宋体"/>
                <w:color w:val="auto"/>
                <w:spacing w:val="-9"/>
                <w:sz w:val="21"/>
                <w:szCs w:val="21"/>
              </w:rPr>
              <w:t>工作需要，工作经费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</w:rPr>
              <w:t>使用合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规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</w:rPr>
              <w:t>。</w:t>
            </w:r>
          </w:p>
        </w:tc>
        <w:tc>
          <w:tcPr>
            <w:tcW w:w="51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C9255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rightChars="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工作经费有保障(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分)。</w:t>
            </w:r>
          </w:p>
        </w:tc>
        <w:tc>
          <w:tcPr>
            <w:tcW w:w="853" w:type="dxa"/>
            <w:tcBorders>
              <w:tl2br w:val="nil"/>
              <w:tr2bl w:val="nil"/>
            </w:tcBorders>
            <w:vAlign w:val="center"/>
          </w:tcPr>
          <w:p w14:paraId="75CD99C6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3827" w:type="dxa"/>
            <w:vMerge w:val="restart"/>
            <w:tcBorders>
              <w:tl2br w:val="nil"/>
              <w:tr2bl w:val="nil"/>
            </w:tcBorders>
            <w:vAlign w:val="center"/>
          </w:tcPr>
          <w:p w14:paraId="568DDB9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1"/>
                <w:sz w:val="21"/>
                <w:szCs w:val="21"/>
              </w:rPr>
              <w:t>提供经费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21"/>
                <w:szCs w:val="21"/>
                <w:lang w:val="en-US" w:eastAsia="zh-CN"/>
              </w:rPr>
              <w:t>审批、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21"/>
                <w:szCs w:val="21"/>
              </w:rPr>
              <w:t>经费使用清单等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21"/>
                <w:szCs w:val="21"/>
              </w:rPr>
              <w:t>由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评价组综合判断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lang w:eastAsia="zh-CN"/>
              </w:rPr>
              <w:t>。</w:t>
            </w:r>
          </w:p>
        </w:tc>
      </w:tr>
      <w:tr w14:paraId="094A814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290" w:type="dxa"/>
            <w:vMerge w:val="continue"/>
            <w:tcBorders>
              <w:tl2br w:val="nil"/>
              <w:tr2bl w:val="nil"/>
            </w:tcBorders>
            <w:vAlign w:val="center"/>
          </w:tcPr>
          <w:p w14:paraId="0F8B34BC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336" w:type="dxa"/>
            <w:vMerge w:val="continue"/>
            <w:tcBorders>
              <w:tl2br w:val="nil"/>
              <w:tr2bl w:val="nil"/>
            </w:tcBorders>
          </w:tcPr>
          <w:p w14:paraId="47357961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285" w:type="dxa"/>
            <w:vMerge w:val="continue"/>
            <w:tcBorders>
              <w:tl2br w:val="nil"/>
              <w:tr2bl w:val="nil"/>
            </w:tcBorders>
          </w:tcPr>
          <w:p w14:paraId="64B6BA33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848" w:type="dxa"/>
            <w:vMerge w:val="continue"/>
            <w:tcBorders>
              <w:tl2br w:val="nil"/>
              <w:tr2bl w:val="nil"/>
            </w:tcBorders>
          </w:tcPr>
          <w:p w14:paraId="6DC46119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51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36AB3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rightChars="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4"/>
                <w:sz w:val="21"/>
                <w:szCs w:val="21"/>
              </w:rPr>
              <w:t>工作经费使用合规(</w:t>
            </w:r>
            <w:r>
              <w:rPr>
                <w:rFonts w:hint="eastAsia" w:ascii="宋体" w:hAnsi="宋体" w:eastAsia="宋体" w:cs="宋体"/>
                <w:color w:val="auto"/>
                <w:spacing w:val="4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pacing w:val="4"/>
                <w:sz w:val="21"/>
                <w:szCs w:val="21"/>
              </w:rPr>
              <w:t>分)</w:t>
            </w:r>
            <w:r>
              <w:rPr>
                <w:rFonts w:hint="eastAsia" w:ascii="宋体" w:hAnsi="宋体" w:eastAsia="宋体" w:cs="宋体"/>
                <w:color w:val="auto"/>
                <w:spacing w:val="4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853" w:type="dxa"/>
            <w:tcBorders>
              <w:tl2br w:val="nil"/>
              <w:tr2bl w:val="nil"/>
            </w:tcBorders>
          </w:tcPr>
          <w:p w14:paraId="7EFA1068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3827" w:type="dxa"/>
            <w:vMerge w:val="continue"/>
            <w:tcBorders>
              <w:tl2br w:val="nil"/>
              <w:tr2bl w:val="nil"/>
            </w:tcBorders>
          </w:tcPr>
          <w:p w14:paraId="73575646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</w:tbl>
    <w:p w14:paraId="5F4ED97B">
      <w:pPr>
        <w:pStyle w:val="4"/>
        <w:jc w:val="center"/>
        <w:rPr>
          <w:rFonts w:ascii="黑体" w:hAnsi="黑体" w:eastAsia="黑体" w:cs="黑体"/>
          <w:b/>
          <w:bCs/>
          <w:color w:val="auto"/>
          <w:spacing w:val="-3"/>
          <w:sz w:val="32"/>
          <w:szCs w:val="32"/>
        </w:rPr>
      </w:pPr>
    </w:p>
    <w:tbl>
      <w:tblPr>
        <w:tblStyle w:val="7"/>
        <w:tblW w:w="15747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68"/>
        <w:gridCol w:w="1273"/>
        <w:gridCol w:w="1312"/>
        <w:gridCol w:w="1818"/>
        <w:gridCol w:w="5167"/>
        <w:gridCol w:w="848"/>
        <w:gridCol w:w="4061"/>
      </w:tblGrid>
      <w:tr w14:paraId="4C1ACDA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268" w:type="dxa"/>
            <w:tcBorders>
              <w:tl2br w:val="nil"/>
              <w:tr2bl w:val="nil"/>
            </w:tcBorders>
            <w:vAlign w:val="center"/>
          </w:tcPr>
          <w:p w14:paraId="29D4E85C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-3"/>
                <w:sz w:val="21"/>
                <w:szCs w:val="21"/>
              </w:rPr>
              <w:t>一级指标</w:t>
            </w:r>
          </w:p>
        </w:tc>
        <w:tc>
          <w:tcPr>
            <w:tcW w:w="1273" w:type="dxa"/>
            <w:tcBorders>
              <w:tl2br w:val="nil"/>
              <w:tr2bl w:val="nil"/>
            </w:tcBorders>
            <w:vAlign w:val="center"/>
          </w:tcPr>
          <w:p w14:paraId="00E876E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-3"/>
                <w:sz w:val="21"/>
                <w:szCs w:val="21"/>
              </w:rPr>
              <w:t>二级指标</w:t>
            </w:r>
          </w:p>
        </w:tc>
        <w:tc>
          <w:tcPr>
            <w:tcW w:w="1312" w:type="dxa"/>
            <w:tcBorders>
              <w:tl2br w:val="nil"/>
              <w:tr2bl w:val="nil"/>
            </w:tcBorders>
            <w:vAlign w:val="center"/>
          </w:tcPr>
          <w:p w14:paraId="47DD0F3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-2"/>
                <w:sz w:val="21"/>
                <w:szCs w:val="21"/>
              </w:rPr>
              <w:t>三级指标</w:t>
            </w:r>
          </w:p>
        </w:tc>
        <w:tc>
          <w:tcPr>
            <w:tcW w:w="1818" w:type="dxa"/>
            <w:tcBorders>
              <w:tl2br w:val="nil"/>
              <w:tr2bl w:val="nil"/>
            </w:tcBorders>
            <w:vAlign w:val="center"/>
          </w:tcPr>
          <w:p w14:paraId="6409A12C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-2"/>
                <w:sz w:val="21"/>
                <w:szCs w:val="21"/>
              </w:rPr>
              <w:t>考核内容</w:t>
            </w:r>
          </w:p>
        </w:tc>
        <w:tc>
          <w:tcPr>
            <w:tcW w:w="5167" w:type="dxa"/>
            <w:tcBorders>
              <w:tl2br w:val="nil"/>
              <w:tr2bl w:val="nil"/>
            </w:tcBorders>
            <w:vAlign w:val="center"/>
          </w:tcPr>
          <w:p w14:paraId="1033F9E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-2"/>
                <w:sz w:val="21"/>
                <w:szCs w:val="21"/>
              </w:rPr>
              <w:t>评分标准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 w14:paraId="4A51065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-3"/>
                <w:sz w:val="21"/>
                <w:szCs w:val="21"/>
              </w:rPr>
              <w:t>得分</w:t>
            </w:r>
          </w:p>
        </w:tc>
        <w:tc>
          <w:tcPr>
            <w:tcW w:w="4061" w:type="dxa"/>
            <w:tcBorders>
              <w:tl2br w:val="nil"/>
              <w:tr2bl w:val="nil"/>
            </w:tcBorders>
            <w:vAlign w:val="center"/>
          </w:tcPr>
          <w:p w14:paraId="373AA50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5"/>
                <w:sz w:val="21"/>
                <w:szCs w:val="21"/>
              </w:rPr>
              <w:t>评分说明</w:t>
            </w:r>
          </w:p>
        </w:tc>
      </w:tr>
      <w:tr w14:paraId="4570119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268" w:type="dxa"/>
            <w:vMerge w:val="restart"/>
            <w:tcBorders>
              <w:tl2br w:val="nil"/>
              <w:tr2bl w:val="nil"/>
            </w:tcBorders>
            <w:vAlign w:val="center"/>
          </w:tcPr>
          <w:p w14:paraId="642DD58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1"/>
                <w:sz w:val="21"/>
                <w:szCs w:val="21"/>
              </w:rPr>
              <w:t>二、工作开展</w:t>
            </w:r>
            <w:r>
              <w:rPr>
                <w:rFonts w:hint="eastAsia" w:ascii="宋体" w:hAnsi="宋体" w:eastAsia="宋体" w:cs="宋体"/>
                <w:color w:val="auto"/>
                <w:spacing w:val="9"/>
                <w:sz w:val="21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color w:val="auto"/>
                <w:spacing w:val="9"/>
                <w:sz w:val="21"/>
                <w:szCs w:val="21"/>
                <w:lang w:val="en-US" w:eastAsia="zh-CN"/>
              </w:rPr>
              <w:t>25</w:t>
            </w:r>
            <w:r>
              <w:rPr>
                <w:rFonts w:hint="eastAsia" w:ascii="宋体" w:hAnsi="宋体" w:eastAsia="宋体" w:cs="宋体"/>
                <w:color w:val="auto"/>
                <w:spacing w:val="9"/>
                <w:sz w:val="21"/>
                <w:szCs w:val="21"/>
              </w:rPr>
              <w:t>分)</w:t>
            </w:r>
          </w:p>
        </w:tc>
        <w:tc>
          <w:tcPr>
            <w:tcW w:w="1273" w:type="dxa"/>
            <w:vMerge w:val="restart"/>
            <w:tcBorders>
              <w:tl2br w:val="nil"/>
              <w:tr2bl w:val="nil"/>
            </w:tcBorders>
            <w:vAlign w:val="center"/>
          </w:tcPr>
          <w:p w14:paraId="39BE9CF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2"/>
                <w:sz w:val="21"/>
                <w:szCs w:val="21"/>
              </w:rPr>
              <w:t>4.创新工作</w:t>
            </w:r>
          </w:p>
          <w:p w14:paraId="65573AD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9"/>
                <w:sz w:val="21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color w:val="auto"/>
                <w:spacing w:val="9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spacing w:val="9"/>
                <w:sz w:val="21"/>
                <w:szCs w:val="21"/>
              </w:rPr>
              <w:t>分)</w:t>
            </w:r>
          </w:p>
        </w:tc>
        <w:tc>
          <w:tcPr>
            <w:tcW w:w="1312" w:type="dxa"/>
            <w:vMerge w:val="restart"/>
            <w:tcBorders>
              <w:tl2br w:val="nil"/>
              <w:tr2bl w:val="nil"/>
            </w:tcBorders>
            <w:vAlign w:val="center"/>
          </w:tcPr>
          <w:p w14:paraId="48F5B41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2"/>
                <w:sz w:val="21"/>
                <w:szCs w:val="21"/>
              </w:rPr>
              <w:t>4.1创新目标</w:t>
            </w:r>
          </w:p>
          <w:p w14:paraId="7C6755A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10"/>
                <w:sz w:val="21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color w:val="auto"/>
                <w:spacing w:val="10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pacing w:val="10"/>
                <w:sz w:val="21"/>
                <w:szCs w:val="21"/>
              </w:rPr>
              <w:t>分)</w:t>
            </w:r>
          </w:p>
        </w:tc>
        <w:tc>
          <w:tcPr>
            <w:tcW w:w="1818" w:type="dxa"/>
            <w:vMerge w:val="restart"/>
            <w:tcBorders>
              <w:tl2br w:val="nil"/>
              <w:tr2bl w:val="nil"/>
            </w:tcBorders>
            <w:vAlign w:val="center"/>
          </w:tcPr>
          <w:p w14:paraId="1D1872F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</w:rPr>
              <w:t>有明确的技术攻关</w:t>
            </w:r>
            <w:r>
              <w:rPr>
                <w:rFonts w:hint="eastAsia" w:ascii="宋体" w:hAnsi="宋体" w:eastAsia="宋体" w:cs="宋体"/>
                <w:color w:val="auto"/>
                <w:spacing w:val="5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9"/>
                <w:sz w:val="21"/>
                <w:szCs w:val="21"/>
              </w:rPr>
              <w:t>课题和</w:t>
            </w:r>
            <w:r>
              <w:rPr>
                <w:rFonts w:hint="eastAsia" w:ascii="宋体" w:hAnsi="宋体" w:eastAsia="宋体" w:cs="宋体"/>
                <w:color w:val="auto"/>
                <w:spacing w:val="9"/>
                <w:sz w:val="21"/>
                <w:szCs w:val="21"/>
                <w:lang w:val="en-US" w:eastAsia="zh-CN"/>
              </w:rPr>
              <w:t>创</w:t>
            </w:r>
            <w:r>
              <w:rPr>
                <w:rFonts w:hint="eastAsia" w:ascii="宋体" w:hAnsi="宋体" w:eastAsia="宋体" w:cs="宋体"/>
                <w:color w:val="auto"/>
                <w:spacing w:val="9"/>
                <w:sz w:val="21"/>
                <w:szCs w:val="21"/>
              </w:rPr>
              <w:t>新目标</w:t>
            </w:r>
          </w:p>
        </w:tc>
        <w:tc>
          <w:tcPr>
            <w:tcW w:w="5167" w:type="dxa"/>
            <w:tcBorders>
              <w:tl2br w:val="nil"/>
              <w:tr2bl w:val="nil"/>
            </w:tcBorders>
            <w:vAlign w:val="center"/>
          </w:tcPr>
          <w:p w14:paraId="4DE3FC4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有年度工作方案或计划(1分)。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 w14:paraId="2C46E2B4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4061" w:type="dxa"/>
            <w:vMerge w:val="restart"/>
            <w:tcBorders>
              <w:tl2br w:val="nil"/>
              <w:tr2bl w:val="nil"/>
            </w:tcBorders>
            <w:vAlign w:val="center"/>
          </w:tcPr>
          <w:p w14:paraId="462C6F5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提供年度工作方案(或计划)、年度工作方案</w:t>
            </w:r>
            <w:r>
              <w:rPr>
                <w:rFonts w:hint="eastAsia" w:ascii="宋体" w:hAnsi="宋体" w:eastAsia="宋体" w:cs="宋体"/>
                <w:color w:val="auto"/>
                <w:spacing w:val="3"/>
                <w:sz w:val="21"/>
                <w:szCs w:val="21"/>
              </w:rPr>
              <w:t>实行闭环管理证明材料等；由评价组综合判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</w:rPr>
              <w:t>断。</w:t>
            </w:r>
          </w:p>
        </w:tc>
      </w:tr>
      <w:tr w14:paraId="7EC091A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268" w:type="dxa"/>
            <w:vMerge w:val="continue"/>
            <w:tcBorders>
              <w:tl2br w:val="nil"/>
              <w:tr2bl w:val="nil"/>
            </w:tcBorders>
            <w:vAlign w:val="center"/>
          </w:tcPr>
          <w:p w14:paraId="43C4BB96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273" w:type="dxa"/>
            <w:vMerge w:val="continue"/>
            <w:tcBorders>
              <w:tl2br w:val="nil"/>
              <w:tr2bl w:val="nil"/>
            </w:tcBorders>
            <w:vAlign w:val="center"/>
          </w:tcPr>
          <w:p w14:paraId="08DBC0D3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312" w:type="dxa"/>
            <w:vMerge w:val="continue"/>
            <w:tcBorders>
              <w:tl2br w:val="nil"/>
              <w:tr2bl w:val="nil"/>
            </w:tcBorders>
            <w:vAlign w:val="center"/>
          </w:tcPr>
          <w:p w14:paraId="4E246CFF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818" w:type="dxa"/>
            <w:vMerge w:val="continue"/>
            <w:tcBorders>
              <w:tl2br w:val="nil"/>
              <w:tr2bl w:val="nil"/>
            </w:tcBorders>
            <w:vAlign w:val="center"/>
          </w:tcPr>
          <w:p w14:paraId="36A19935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5167" w:type="dxa"/>
            <w:tcBorders>
              <w:tl2br w:val="nil"/>
              <w:tr2bl w:val="nil"/>
            </w:tcBorders>
            <w:vAlign w:val="center"/>
          </w:tcPr>
          <w:p w14:paraId="746112E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对年度工作方案实行闭环管理(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分)。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 w14:paraId="63922A65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4061" w:type="dxa"/>
            <w:vMerge w:val="continue"/>
            <w:tcBorders>
              <w:tl2br w:val="nil"/>
              <w:tr2bl w:val="nil"/>
            </w:tcBorders>
            <w:vAlign w:val="center"/>
          </w:tcPr>
          <w:p w14:paraId="2B731E81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 w14:paraId="63C8863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268" w:type="dxa"/>
            <w:vMerge w:val="continue"/>
            <w:tcBorders>
              <w:tl2br w:val="nil"/>
              <w:tr2bl w:val="nil"/>
            </w:tcBorders>
            <w:vAlign w:val="center"/>
          </w:tcPr>
          <w:p w14:paraId="3C7A1E32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273" w:type="dxa"/>
            <w:vMerge w:val="continue"/>
            <w:tcBorders>
              <w:tl2br w:val="nil"/>
              <w:tr2bl w:val="nil"/>
            </w:tcBorders>
            <w:vAlign w:val="center"/>
          </w:tcPr>
          <w:p w14:paraId="710DBF75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312" w:type="dxa"/>
            <w:vMerge w:val="restart"/>
            <w:tcBorders>
              <w:tl2br w:val="nil"/>
              <w:tr2bl w:val="nil"/>
            </w:tcBorders>
            <w:vAlign w:val="center"/>
          </w:tcPr>
          <w:p w14:paraId="14B1B46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2"/>
                <w:sz w:val="21"/>
                <w:szCs w:val="21"/>
              </w:rPr>
              <w:t>4.2工作台账</w:t>
            </w:r>
          </w:p>
          <w:p w14:paraId="0F5FA36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10"/>
                <w:sz w:val="21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color w:val="auto"/>
                <w:spacing w:val="10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auto"/>
                <w:spacing w:val="10"/>
                <w:sz w:val="21"/>
                <w:szCs w:val="21"/>
              </w:rPr>
              <w:t>分)</w:t>
            </w:r>
          </w:p>
        </w:tc>
        <w:tc>
          <w:tcPr>
            <w:tcW w:w="1818" w:type="dxa"/>
            <w:vMerge w:val="restart"/>
            <w:tcBorders>
              <w:tl2br w:val="nil"/>
              <w:tr2bl w:val="nil"/>
            </w:tcBorders>
            <w:vAlign w:val="center"/>
          </w:tcPr>
          <w:p w14:paraId="6C77B9EC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5"/>
                <w:sz w:val="21"/>
                <w:szCs w:val="21"/>
              </w:rPr>
              <w:t>完备记录日常活动、</w:t>
            </w:r>
            <w:r>
              <w:rPr>
                <w:rFonts w:hint="eastAsia" w:ascii="宋体" w:hAnsi="宋体" w:eastAsia="宋体" w:cs="宋体"/>
                <w:color w:val="auto"/>
                <w:spacing w:val="-12"/>
                <w:sz w:val="21"/>
                <w:szCs w:val="21"/>
              </w:rPr>
              <w:t>创新成果和人才培养或</w:t>
            </w:r>
            <w:r>
              <w:rPr>
                <w:rFonts w:hint="eastAsia" w:ascii="宋体" w:hAnsi="宋体" w:eastAsia="宋体" w:cs="宋体"/>
                <w:color w:val="auto"/>
                <w:spacing w:val="-12"/>
                <w:sz w:val="21"/>
                <w:szCs w:val="21"/>
                <w:lang w:val="en-US" w:eastAsia="zh-CN"/>
              </w:rPr>
              <w:t>工程</w:t>
            </w:r>
            <w:r>
              <w:rPr>
                <w:rFonts w:hint="eastAsia" w:ascii="宋体" w:hAnsi="宋体" w:eastAsia="宋体" w:cs="宋体"/>
                <w:color w:val="auto"/>
                <w:spacing w:val="-12"/>
                <w:sz w:val="21"/>
                <w:szCs w:val="21"/>
              </w:rPr>
              <w:t>质量改进</w:t>
            </w:r>
            <w:r>
              <w:rPr>
                <w:rFonts w:hint="eastAsia" w:ascii="宋体" w:hAnsi="宋体" w:eastAsia="宋体" w:cs="宋体"/>
                <w:color w:val="auto"/>
                <w:spacing w:val="-9"/>
                <w:sz w:val="21"/>
                <w:szCs w:val="21"/>
              </w:rPr>
              <w:t>活动等事项。</w:t>
            </w:r>
          </w:p>
        </w:tc>
        <w:tc>
          <w:tcPr>
            <w:tcW w:w="5167" w:type="dxa"/>
            <w:tcBorders>
              <w:tl2br w:val="nil"/>
              <w:tr2bl w:val="nil"/>
            </w:tcBorders>
            <w:vAlign w:val="center"/>
          </w:tcPr>
          <w:p w14:paraId="106CB7A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1"/>
                <w:szCs w:val="21"/>
              </w:rPr>
              <w:t>建立有包括日常活动记录(1分)、创新成果清单(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1"/>
                <w:szCs w:val="21"/>
                <w:lang w:val="en-US" w:eastAsia="zh-CN"/>
              </w:rPr>
              <w:t>0.5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1"/>
                <w:szCs w:val="21"/>
              </w:rPr>
              <w:t>分)、人才培养清单(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1"/>
                <w:szCs w:val="21"/>
                <w:lang w:val="en-US" w:eastAsia="zh-CN"/>
              </w:rPr>
              <w:t>0.5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1"/>
                <w:szCs w:val="21"/>
              </w:rPr>
              <w:t>分)、荣誉档案(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1"/>
                <w:szCs w:val="21"/>
                <w:lang w:val="en-US" w:eastAsia="zh-CN"/>
              </w:rPr>
              <w:t>0.5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1"/>
                <w:szCs w:val="21"/>
              </w:rPr>
              <w:t>分)、交流活动档案(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1"/>
                <w:szCs w:val="21"/>
                <w:lang w:val="en-US" w:eastAsia="zh-CN"/>
              </w:rPr>
              <w:t>0.5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1"/>
                <w:szCs w:val="21"/>
              </w:rPr>
              <w:t>分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1"/>
                <w:szCs w:val="21"/>
                <w:lang w:val="en-US" w:eastAsia="zh-CN"/>
              </w:rPr>
              <w:t>)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1"/>
                <w:szCs w:val="21"/>
              </w:rPr>
              <w:t>等(根据需要建立电子文档和纸质文档)。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 w14:paraId="6BFF3A96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4061" w:type="dxa"/>
            <w:vMerge w:val="restart"/>
            <w:tcBorders>
              <w:tl2br w:val="nil"/>
              <w:tr2bl w:val="nil"/>
            </w:tcBorders>
            <w:vAlign w:val="center"/>
          </w:tcPr>
          <w:p w14:paraId="03237D3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5"/>
                <w:sz w:val="21"/>
                <w:szCs w:val="21"/>
              </w:rPr>
              <w:t>提供日常活动记录、创新成果清册、人才培养清册、荣誉档案、交流活动档案、档案佐证材</w:t>
            </w:r>
            <w:r>
              <w:rPr>
                <w:rFonts w:hint="eastAsia" w:ascii="宋体" w:hAnsi="宋体" w:eastAsia="宋体" w:cs="宋体"/>
                <w:color w:val="auto"/>
                <w:spacing w:val="4"/>
                <w:sz w:val="21"/>
                <w:szCs w:val="21"/>
              </w:rPr>
              <w:t>料、台账管理专档等</w:t>
            </w:r>
            <w:r>
              <w:rPr>
                <w:rFonts w:hint="eastAsia" w:ascii="宋体" w:hAnsi="宋体" w:eastAsia="宋体" w:cs="宋体"/>
                <w:color w:val="auto"/>
                <w:spacing w:val="4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eastAsia" w:ascii="宋体" w:hAnsi="宋体" w:eastAsia="宋体" w:cs="宋体"/>
                <w:color w:val="auto"/>
                <w:spacing w:val="4"/>
                <w:sz w:val="21"/>
                <w:szCs w:val="21"/>
              </w:rPr>
              <w:t>由评价组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综合判断。</w:t>
            </w:r>
          </w:p>
        </w:tc>
      </w:tr>
      <w:tr w14:paraId="79DCF21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1268" w:type="dxa"/>
            <w:vMerge w:val="continue"/>
            <w:tcBorders>
              <w:tl2br w:val="nil"/>
              <w:tr2bl w:val="nil"/>
            </w:tcBorders>
            <w:vAlign w:val="center"/>
          </w:tcPr>
          <w:p w14:paraId="639AC0DF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273" w:type="dxa"/>
            <w:vMerge w:val="continue"/>
            <w:tcBorders>
              <w:tl2br w:val="nil"/>
              <w:tr2bl w:val="nil"/>
            </w:tcBorders>
            <w:vAlign w:val="center"/>
          </w:tcPr>
          <w:p w14:paraId="5F6488E4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312" w:type="dxa"/>
            <w:vMerge w:val="continue"/>
            <w:tcBorders>
              <w:tl2br w:val="nil"/>
              <w:tr2bl w:val="nil"/>
            </w:tcBorders>
            <w:vAlign w:val="center"/>
          </w:tcPr>
          <w:p w14:paraId="06062A1B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818" w:type="dxa"/>
            <w:vMerge w:val="continue"/>
            <w:tcBorders>
              <w:tl2br w:val="nil"/>
              <w:tr2bl w:val="nil"/>
            </w:tcBorders>
            <w:vAlign w:val="center"/>
          </w:tcPr>
          <w:p w14:paraId="187CCE67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5167" w:type="dxa"/>
            <w:tcBorders>
              <w:tl2br w:val="nil"/>
              <w:tr2bl w:val="nil"/>
            </w:tcBorders>
            <w:vAlign w:val="center"/>
          </w:tcPr>
          <w:p w14:paraId="20BD4167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相应档案佐证材料齐备(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分)。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 w14:paraId="49713EF6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4061" w:type="dxa"/>
            <w:vMerge w:val="continue"/>
            <w:tcBorders>
              <w:tl2br w:val="nil"/>
              <w:tr2bl w:val="nil"/>
            </w:tcBorders>
            <w:vAlign w:val="center"/>
          </w:tcPr>
          <w:p w14:paraId="15CBA8B9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 w14:paraId="39F0D88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268" w:type="dxa"/>
            <w:vMerge w:val="continue"/>
            <w:tcBorders>
              <w:tl2br w:val="nil"/>
              <w:tr2bl w:val="nil"/>
            </w:tcBorders>
            <w:vAlign w:val="center"/>
          </w:tcPr>
          <w:p w14:paraId="70953D9E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273" w:type="dxa"/>
            <w:vMerge w:val="restart"/>
            <w:tcBorders>
              <w:tl2br w:val="nil"/>
              <w:tr2bl w:val="nil"/>
            </w:tcBorders>
            <w:vAlign w:val="center"/>
          </w:tcPr>
          <w:p w14:paraId="478CC47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1"/>
                <w:sz w:val="21"/>
                <w:szCs w:val="21"/>
              </w:rPr>
              <w:t>5.人才培养</w:t>
            </w:r>
          </w:p>
          <w:p w14:paraId="05363BAC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9"/>
                <w:sz w:val="21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color w:val="auto"/>
                <w:spacing w:val="9"/>
                <w:sz w:val="21"/>
                <w:szCs w:val="21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color w:val="auto"/>
                <w:spacing w:val="9"/>
                <w:sz w:val="21"/>
                <w:szCs w:val="21"/>
              </w:rPr>
              <w:t>分)</w:t>
            </w:r>
          </w:p>
        </w:tc>
        <w:tc>
          <w:tcPr>
            <w:tcW w:w="1312" w:type="dxa"/>
            <w:vMerge w:val="restart"/>
            <w:tcBorders>
              <w:tl2br w:val="nil"/>
              <w:tr2bl w:val="nil"/>
            </w:tcBorders>
            <w:vAlign w:val="center"/>
          </w:tcPr>
          <w:p w14:paraId="1020B06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2"/>
                <w:sz w:val="21"/>
                <w:szCs w:val="21"/>
              </w:rPr>
              <w:t>5.1</w:t>
            </w:r>
            <w:r>
              <w:rPr>
                <w:rFonts w:hint="eastAsia" w:ascii="宋体" w:hAnsi="宋体" w:eastAsia="宋体" w:cs="宋体"/>
                <w:color w:val="auto"/>
                <w:spacing w:val="2"/>
                <w:sz w:val="21"/>
                <w:szCs w:val="21"/>
                <w:lang w:val="en-US" w:eastAsia="zh-CN"/>
              </w:rPr>
              <w:t>人才</w:t>
            </w:r>
            <w:r>
              <w:rPr>
                <w:rFonts w:hint="eastAsia" w:ascii="宋体" w:hAnsi="宋体" w:eastAsia="宋体" w:cs="宋体"/>
                <w:color w:val="auto"/>
                <w:spacing w:val="2"/>
                <w:sz w:val="21"/>
                <w:szCs w:val="21"/>
              </w:rPr>
              <w:t>培训</w:t>
            </w:r>
            <w:r>
              <w:rPr>
                <w:rFonts w:hint="eastAsia" w:ascii="宋体" w:hAnsi="宋体" w:eastAsia="宋体" w:cs="宋体"/>
                <w:color w:val="auto"/>
                <w:spacing w:val="2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pacing w:val="2"/>
                <w:sz w:val="21"/>
                <w:szCs w:val="21"/>
              </w:rPr>
              <w:t>交流</w:t>
            </w:r>
          </w:p>
          <w:p w14:paraId="3107E8D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9"/>
                <w:sz w:val="21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color w:val="auto"/>
                <w:spacing w:val="9"/>
                <w:sz w:val="21"/>
                <w:szCs w:val="21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color w:val="auto"/>
                <w:spacing w:val="9"/>
                <w:sz w:val="21"/>
                <w:szCs w:val="21"/>
              </w:rPr>
              <w:t>分)</w:t>
            </w:r>
          </w:p>
        </w:tc>
        <w:tc>
          <w:tcPr>
            <w:tcW w:w="1818" w:type="dxa"/>
            <w:vMerge w:val="restart"/>
            <w:tcBorders>
              <w:tl2br w:val="nil"/>
              <w:tr2bl w:val="nil"/>
            </w:tcBorders>
            <w:vAlign w:val="center"/>
          </w:tcPr>
          <w:p w14:paraId="62E708E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5"/>
                <w:sz w:val="21"/>
                <w:szCs w:val="21"/>
              </w:rPr>
              <w:t>开展对内培训、对外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</w:rPr>
              <w:t>技术交流协作的方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1"/>
                <w:szCs w:val="21"/>
              </w:rPr>
              <w:t>式、内容、场次、效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</w:rPr>
              <w:t>果等情况。</w:t>
            </w:r>
          </w:p>
        </w:tc>
        <w:tc>
          <w:tcPr>
            <w:tcW w:w="5167" w:type="dxa"/>
            <w:tcBorders>
              <w:tl2br w:val="nil"/>
              <w:tr2bl w:val="nil"/>
            </w:tcBorders>
            <w:vAlign w:val="center"/>
          </w:tcPr>
          <w:p w14:paraId="0D469E5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rightChars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2"/>
                <w:sz w:val="21"/>
                <w:szCs w:val="21"/>
              </w:rPr>
              <w:t>对内开展人才培养(培训)有计划(1分)有效果(</w:t>
            </w:r>
            <w:r>
              <w:rPr>
                <w:rFonts w:hint="eastAsia" w:ascii="宋体" w:hAnsi="宋体" w:eastAsia="宋体" w:cs="宋体"/>
                <w:color w:val="auto"/>
                <w:spacing w:val="2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pacing w:val="2"/>
                <w:sz w:val="21"/>
                <w:szCs w:val="21"/>
              </w:rPr>
              <w:t>分)</w:t>
            </w:r>
            <w:r>
              <w:rPr>
                <w:rFonts w:hint="eastAsia" w:ascii="宋体" w:hAnsi="宋体" w:eastAsia="宋体" w:cs="宋体"/>
                <w:color w:val="auto"/>
                <w:spacing w:val="2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 w14:paraId="292A9C96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4061" w:type="dxa"/>
            <w:vMerge w:val="restart"/>
            <w:tcBorders>
              <w:tl2br w:val="nil"/>
              <w:tr2bl w:val="nil"/>
            </w:tcBorders>
            <w:vAlign w:val="center"/>
          </w:tcPr>
          <w:p w14:paraId="54C03C0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0"/>
                <w:sz w:val="21"/>
                <w:szCs w:val="21"/>
              </w:rPr>
              <w:t>提供培训计划，组织参加进修、培训、技术交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1"/>
                <w:szCs w:val="21"/>
              </w:rPr>
              <w:t>流活动通知、签到表、照片等相关活动资料；由评价组综合判断。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1"/>
                <w:szCs w:val="21"/>
                <w:lang w:val="en-US" w:eastAsia="zh-CN"/>
              </w:rPr>
              <w:t>培训效果以培训考核考评外，还应结合科研成果、优质工程等成果、业绩来评判。</w:t>
            </w:r>
          </w:p>
        </w:tc>
      </w:tr>
      <w:tr w14:paraId="6182AD5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268" w:type="dxa"/>
            <w:vMerge w:val="continue"/>
            <w:tcBorders>
              <w:tl2br w:val="nil"/>
              <w:tr2bl w:val="nil"/>
            </w:tcBorders>
            <w:vAlign w:val="center"/>
          </w:tcPr>
          <w:p w14:paraId="41D80E2E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273" w:type="dxa"/>
            <w:vMerge w:val="continue"/>
            <w:tcBorders>
              <w:tl2br w:val="nil"/>
              <w:tr2bl w:val="nil"/>
            </w:tcBorders>
            <w:vAlign w:val="center"/>
          </w:tcPr>
          <w:p w14:paraId="34B5BEA9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312" w:type="dxa"/>
            <w:vMerge w:val="continue"/>
            <w:tcBorders>
              <w:tl2br w:val="nil"/>
              <w:tr2bl w:val="nil"/>
            </w:tcBorders>
            <w:vAlign w:val="center"/>
          </w:tcPr>
          <w:p w14:paraId="570F680D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818" w:type="dxa"/>
            <w:vMerge w:val="continue"/>
            <w:tcBorders>
              <w:tl2br w:val="nil"/>
              <w:tr2bl w:val="nil"/>
            </w:tcBorders>
            <w:vAlign w:val="center"/>
          </w:tcPr>
          <w:p w14:paraId="3050C05D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5167" w:type="dxa"/>
            <w:tcBorders>
              <w:tl2br w:val="nil"/>
              <w:tr2bl w:val="nil"/>
            </w:tcBorders>
            <w:vAlign w:val="center"/>
          </w:tcPr>
          <w:p w14:paraId="4DE26161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rightChars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pacing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2"/>
                <w:sz w:val="21"/>
                <w:szCs w:val="21"/>
                <w:lang w:val="en-US" w:eastAsia="zh-CN"/>
              </w:rPr>
              <w:t>组织参加外部培训学习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或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lang w:val="en-US" w:eastAsia="zh-CN"/>
              </w:rPr>
              <w:t>对标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交流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lang w:val="en-US" w:eastAsia="zh-CN"/>
              </w:rPr>
              <w:t>至少2次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分)</w:t>
            </w:r>
            <w:r>
              <w:rPr>
                <w:rFonts w:hint="eastAsia" w:ascii="宋体" w:hAnsi="宋体" w:eastAsia="宋体" w:cs="宋体"/>
                <w:color w:val="auto"/>
                <w:spacing w:val="2"/>
                <w:sz w:val="21"/>
                <w:szCs w:val="21"/>
                <w:lang w:val="en-US" w:eastAsia="zh-CN"/>
              </w:rPr>
              <w:t>；</w:t>
            </w:r>
          </w:p>
          <w:p w14:paraId="40340B1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rightChars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>承办省级协会组织的技术交流活动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分)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国家级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分)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。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 w14:paraId="4E189BE7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4061" w:type="dxa"/>
            <w:vMerge w:val="continue"/>
            <w:tcBorders>
              <w:tl2br w:val="nil"/>
              <w:tr2bl w:val="nil"/>
            </w:tcBorders>
            <w:vAlign w:val="center"/>
          </w:tcPr>
          <w:p w14:paraId="467782C5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 w14:paraId="2559899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  <w:jc w:val="center"/>
        </w:trPr>
        <w:tc>
          <w:tcPr>
            <w:tcW w:w="1268" w:type="dxa"/>
            <w:vMerge w:val="restart"/>
            <w:tcBorders>
              <w:tl2br w:val="nil"/>
              <w:tr2bl w:val="nil"/>
            </w:tcBorders>
            <w:vAlign w:val="center"/>
          </w:tcPr>
          <w:p w14:paraId="31923C2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</w:rPr>
              <w:t>三、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工作业绩</w:t>
            </w:r>
            <w:r>
              <w:rPr>
                <w:rFonts w:hint="eastAsia" w:ascii="宋体" w:hAnsi="宋体" w:eastAsia="宋体" w:cs="宋体"/>
                <w:color w:val="auto"/>
                <w:spacing w:val="9"/>
                <w:sz w:val="21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color w:val="auto"/>
                <w:spacing w:val="9"/>
                <w:sz w:val="21"/>
                <w:szCs w:val="21"/>
                <w:lang w:val="en-US" w:eastAsia="zh-CN"/>
              </w:rPr>
              <w:t>65</w:t>
            </w:r>
            <w:r>
              <w:rPr>
                <w:rFonts w:hint="eastAsia" w:ascii="宋体" w:hAnsi="宋体" w:eastAsia="宋体" w:cs="宋体"/>
                <w:color w:val="auto"/>
                <w:spacing w:val="9"/>
                <w:sz w:val="21"/>
                <w:szCs w:val="21"/>
              </w:rPr>
              <w:t>分)</w:t>
            </w:r>
          </w:p>
        </w:tc>
        <w:tc>
          <w:tcPr>
            <w:tcW w:w="1273" w:type="dxa"/>
            <w:vMerge w:val="restart"/>
            <w:tcBorders>
              <w:tl2br w:val="nil"/>
              <w:tr2bl w:val="nil"/>
            </w:tcBorders>
            <w:vAlign w:val="center"/>
          </w:tcPr>
          <w:p w14:paraId="27F399B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</w:rPr>
              <w:t>6.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科技成果</w:t>
            </w:r>
          </w:p>
          <w:p w14:paraId="1F158F8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9"/>
                <w:sz w:val="21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color w:val="auto"/>
                <w:spacing w:val="9"/>
                <w:sz w:val="21"/>
                <w:szCs w:val="21"/>
                <w:lang w:val="en-US" w:eastAsia="zh-CN"/>
              </w:rPr>
              <w:t>45</w:t>
            </w:r>
            <w:r>
              <w:rPr>
                <w:rFonts w:hint="eastAsia" w:ascii="宋体" w:hAnsi="宋体" w:eastAsia="宋体" w:cs="宋体"/>
                <w:color w:val="auto"/>
                <w:spacing w:val="9"/>
                <w:sz w:val="21"/>
                <w:szCs w:val="21"/>
              </w:rPr>
              <w:t>分)</w:t>
            </w:r>
          </w:p>
        </w:tc>
        <w:tc>
          <w:tcPr>
            <w:tcW w:w="1312" w:type="dxa"/>
            <w:vMerge w:val="restart"/>
            <w:tcBorders>
              <w:tl2br w:val="nil"/>
              <w:tr2bl w:val="nil"/>
            </w:tcBorders>
            <w:vAlign w:val="center"/>
          </w:tcPr>
          <w:p w14:paraId="2EE07EA1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2"/>
                <w:sz w:val="21"/>
                <w:szCs w:val="21"/>
              </w:rPr>
              <w:t>6.1</w:t>
            </w:r>
            <w:r>
              <w:rPr>
                <w:rFonts w:hint="eastAsia" w:ascii="宋体" w:hAnsi="宋体" w:eastAsia="宋体" w:cs="宋体"/>
                <w:color w:val="auto"/>
                <w:spacing w:val="2"/>
                <w:sz w:val="21"/>
                <w:szCs w:val="21"/>
                <w:lang w:val="en-US" w:eastAsia="zh-CN"/>
              </w:rPr>
              <w:t>科技</w:t>
            </w:r>
            <w:r>
              <w:rPr>
                <w:rFonts w:hint="eastAsia" w:ascii="宋体" w:hAnsi="宋体" w:eastAsia="宋体" w:cs="宋体"/>
                <w:color w:val="auto"/>
                <w:spacing w:val="2"/>
                <w:sz w:val="21"/>
                <w:szCs w:val="21"/>
              </w:rPr>
              <w:t>成果</w:t>
            </w:r>
            <w:r>
              <w:rPr>
                <w:rFonts w:hint="eastAsia" w:ascii="宋体" w:hAnsi="宋体" w:eastAsia="宋体" w:cs="宋体"/>
                <w:color w:val="auto"/>
                <w:spacing w:val="9"/>
                <w:sz w:val="21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color w:val="auto"/>
                <w:spacing w:val="9"/>
                <w:sz w:val="21"/>
                <w:szCs w:val="21"/>
                <w:lang w:val="en-US" w:eastAsia="zh-CN"/>
              </w:rPr>
              <w:t>35</w:t>
            </w:r>
            <w:r>
              <w:rPr>
                <w:rFonts w:hint="eastAsia" w:ascii="宋体" w:hAnsi="宋体" w:eastAsia="宋体" w:cs="宋体"/>
                <w:color w:val="auto"/>
                <w:spacing w:val="9"/>
                <w:sz w:val="21"/>
                <w:szCs w:val="21"/>
              </w:rPr>
              <w:t>分)</w:t>
            </w:r>
          </w:p>
        </w:tc>
        <w:tc>
          <w:tcPr>
            <w:tcW w:w="1818" w:type="dxa"/>
            <w:vMerge w:val="restart"/>
            <w:tcBorders>
              <w:tl2br w:val="nil"/>
              <w:tr2bl w:val="nil"/>
            </w:tcBorders>
            <w:vAlign w:val="center"/>
          </w:tcPr>
          <w:p w14:paraId="695701E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-16"/>
                <w:sz w:val="21"/>
                <w:szCs w:val="21"/>
              </w:rPr>
              <w:t>开展群众性技术</w:t>
            </w:r>
            <w:r>
              <w:rPr>
                <w:rFonts w:hint="eastAsia" w:ascii="宋体" w:hAnsi="宋体" w:eastAsia="宋体" w:cs="宋体"/>
                <w:color w:val="auto"/>
                <w:spacing w:val="-7"/>
                <w:sz w:val="21"/>
                <w:szCs w:val="21"/>
              </w:rPr>
              <w:t>攻关</w:t>
            </w:r>
            <w:r>
              <w:rPr>
                <w:rFonts w:hint="eastAsia" w:ascii="宋体" w:hAnsi="宋体" w:eastAsia="宋体" w:cs="宋体"/>
                <w:color w:val="auto"/>
                <w:spacing w:val="-7"/>
                <w:sz w:val="21"/>
                <w:szCs w:val="21"/>
                <w:lang w:val="en-US" w:eastAsia="zh-CN"/>
              </w:rPr>
              <w:t>课</w:t>
            </w:r>
            <w:r>
              <w:rPr>
                <w:rFonts w:hint="eastAsia" w:ascii="宋体" w:hAnsi="宋体" w:eastAsia="宋体" w:cs="宋体"/>
                <w:color w:val="auto"/>
                <w:spacing w:val="-7"/>
                <w:sz w:val="21"/>
                <w:szCs w:val="21"/>
              </w:rPr>
              <w:t>题，推动企业技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1"/>
                <w:szCs w:val="21"/>
              </w:rPr>
              <w:t>术进步等方面的新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</w:rPr>
              <w:t>成果。</w:t>
            </w:r>
          </w:p>
        </w:tc>
        <w:tc>
          <w:tcPr>
            <w:tcW w:w="5167" w:type="dxa"/>
            <w:tcBorders>
              <w:tl2br w:val="nil"/>
              <w:tr2bl w:val="nil"/>
            </w:tcBorders>
            <w:vAlign w:val="center"/>
          </w:tcPr>
          <w:p w14:paraId="3C6595A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lang w:val="en-US" w:eastAsia="zh-CN"/>
              </w:rPr>
              <w:t>科技进步奖、科技创新成果、工法等国家级得10分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/项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lang w:val="en-US" w:eastAsia="zh-CN"/>
              </w:rPr>
              <w:t>，省级或国家级行业协会得5分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/项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lang w:val="en-US" w:eastAsia="zh-CN"/>
              </w:rPr>
              <w:t>，市级得2分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/项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lang w:val="en-US" w:eastAsia="zh-CN"/>
              </w:rPr>
              <w:t>，企业级得1分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/项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lang w:val="en-US" w:eastAsia="zh-CN"/>
              </w:rPr>
              <w:t>。市级最多计入2项，企业级最多计入3项。该项最多得分为10分。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 w14:paraId="50FA704C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4061" w:type="dxa"/>
            <w:vMerge w:val="restart"/>
            <w:tcBorders>
              <w:tl2br w:val="nil"/>
              <w:tr2bl w:val="nil"/>
            </w:tcBorders>
            <w:vAlign w:val="center"/>
          </w:tcPr>
          <w:p w14:paraId="6ADC96A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1"/>
                <w:sz w:val="21"/>
                <w:szCs w:val="21"/>
              </w:rPr>
              <w:t>至少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21"/>
                <w:szCs w:val="21"/>
                <w:lang w:val="en-US" w:eastAsia="zh-CN"/>
              </w:rPr>
              <w:t>一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21"/>
                <w:szCs w:val="21"/>
              </w:rPr>
              <w:t>名工作室成员</w:t>
            </w:r>
            <w:r>
              <w:rPr>
                <w:rFonts w:hint="eastAsia" w:ascii="宋体" w:hAnsi="宋体" w:eastAsia="宋体" w:cs="宋体"/>
                <w:color w:val="auto"/>
                <w:spacing w:val="-9"/>
                <w:sz w:val="21"/>
                <w:szCs w:val="21"/>
              </w:rPr>
              <w:t>应为</w:t>
            </w:r>
            <w:r>
              <w:rPr>
                <w:rFonts w:hint="eastAsia" w:ascii="宋体" w:hAnsi="宋体" w:eastAsia="宋体" w:cs="宋体"/>
                <w:color w:val="auto"/>
                <w:spacing w:val="-9"/>
                <w:sz w:val="21"/>
                <w:szCs w:val="21"/>
                <w:lang w:val="en-US" w:eastAsia="zh-CN"/>
              </w:rPr>
              <w:t>前五位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主要完成人。</w:t>
            </w:r>
          </w:p>
          <w:p w14:paraId="68C326F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</w:rPr>
              <w:t>提供成果清单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val="en-US" w:eastAsia="zh-CN"/>
              </w:rPr>
              <w:t>鉴定资料等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</w:rPr>
              <w:t>相关证明材料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</w:rPr>
              <w:t>未列入评分标准的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val="en-US" w:eastAsia="zh-CN"/>
              </w:rPr>
              <w:t>其它科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</w:rPr>
              <w:t>技术成果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val="en-US" w:eastAsia="zh-CN"/>
              </w:rPr>
              <w:t>可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</w:rPr>
              <w:t>适当给分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val="en-US" w:eastAsia="zh-CN"/>
              </w:rPr>
              <w:t>；但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</w:rPr>
              <w:t>该项累计加分不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val="en-US" w:eastAsia="zh-CN"/>
              </w:rPr>
              <w:t>得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</w:rPr>
              <w:t>超过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val="en-US" w:eastAsia="zh-CN"/>
              </w:rPr>
              <w:t>25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</w:rPr>
              <w:t>分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eastAsia="zh-CN"/>
              </w:rPr>
              <w:t>。</w:t>
            </w:r>
          </w:p>
          <w:p w14:paraId="3D6D09C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lang w:val="en-US" w:eastAsia="zh-CN"/>
              </w:rPr>
              <w:t>市级最多计入2项，企业级最多计入3项。</w:t>
            </w:r>
          </w:p>
          <w:p w14:paraId="5B676FE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default" w:ascii="宋体" w:hAnsi="宋体" w:eastAsia="宋体" w:cs="宋体"/>
                <w:color w:val="auto"/>
                <w:spacing w:val="-1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lang w:val="en-US" w:eastAsia="zh-CN"/>
              </w:rPr>
              <w:t>著作、论文的课题、内容应与研究课题相关联。无紧密关联不得分。</w:t>
            </w:r>
          </w:p>
        </w:tc>
      </w:tr>
      <w:tr w14:paraId="2E41F9D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  <w:jc w:val="center"/>
        </w:trPr>
        <w:tc>
          <w:tcPr>
            <w:tcW w:w="1268" w:type="dxa"/>
            <w:vMerge w:val="continue"/>
            <w:tcBorders>
              <w:tl2br w:val="nil"/>
              <w:tr2bl w:val="nil"/>
            </w:tcBorders>
            <w:vAlign w:val="center"/>
          </w:tcPr>
          <w:p w14:paraId="685DE3B7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273" w:type="dxa"/>
            <w:vMerge w:val="continue"/>
            <w:tcBorders>
              <w:tl2br w:val="nil"/>
              <w:tr2bl w:val="nil"/>
            </w:tcBorders>
            <w:vAlign w:val="center"/>
          </w:tcPr>
          <w:p w14:paraId="64EC54B5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312" w:type="dxa"/>
            <w:vMerge w:val="continue"/>
            <w:tcBorders>
              <w:tl2br w:val="nil"/>
              <w:tr2bl w:val="nil"/>
            </w:tcBorders>
            <w:vAlign w:val="center"/>
          </w:tcPr>
          <w:p w14:paraId="2D9E1DEB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818" w:type="dxa"/>
            <w:vMerge w:val="continue"/>
            <w:tcBorders>
              <w:tl2br w:val="nil"/>
              <w:tr2bl w:val="nil"/>
            </w:tcBorders>
            <w:vAlign w:val="center"/>
          </w:tcPr>
          <w:p w14:paraId="3A67B3BF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5167" w:type="dxa"/>
            <w:tcBorders>
              <w:tl2br w:val="nil"/>
              <w:tr2bl w:val="nil"/>
            </w:tcBorders>
            <w:vAlign w:val="center"/>
          </w:tcPr>
          <w:p w14:paraId="3D12694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发明专利得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分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/项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</w:rPr>
              <w:t>实用新型专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利、外观设计专利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软件著作权、高新技术产品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得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</w:rPr>
              <w:t>分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/项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同一类知识产权或高新技术产品最多计入2项。该项最多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lang w:val="en-US" w:eastAsia="zh-CN"/>
              </w:rPr>
              <w:t>得分为20分。</w:t>
            </w:r>
          </w:p>
        </w:tc>
        <w:tc>
          <w:tcPr>
            <w:tcW w:w="848" w:type="dxa"/>
            <w:tcBorders>
              <w:tl2br w:val="nil"/>
              <w:tr2bl w:val="nil"/>
            </w:tcBorders>
            <w:vAlign w:val="center"/>
          </w:tcPr>
          <w:p w14:paraId="3C3C1D57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4061" w:type="dxa"/>
            <w:vMerge w:val="continue"/>
            <w:tcBorders>
              <w:tl2br w:val="nil"/>
              <w:tr2bl w:val="nil"/>
            </w:tcBorders>
            <w:vAlign w:val="center"/>
          </w:tcPr>
          <w:p w14:paraId="5E918A8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 w:firstLine="1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 w14:paraId="30C9776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  <w:jc w:val="center"/>
        </w:trPr>
        <w:tc>
          <w:tcPr>
            <w:tcW w:w="1268" w:type="dxa"/>
            <w:vMerge w:val="continue"/>
            <w:tcBorders>
              <w:tl2br w:val="nil"/>
              <w:tr2bl w:val="nil"/>
            </w:tcBorders>
            <w:vAlign w:val="center"/>
          </w:tcPr>
          <w:p w14:paraId="02B1559F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273" w:type="dxa"/>
            <w:vMerge w:val="continue"/>
            <w:tcBorders>
              <w:tl2br w:val="nil"/>
              <w:tr2bl w:val="nil"/>
            </w:tcBorders>
            <w:vAlign w:val="center"/>
          </w:tcPr>
          <w:p w14:paraId="6822D73E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312" w:type="dxa"/>
            <w:vMerge w:val="continue"/>
            <w:tcBorders>
              <w:bottom w:val="single" w:color="auto" w:sz="4" w:space="0"/>
              <w:tl2br w:val="nil"/>
              <w:tr2bl w:val="nil"/>
            </w:tcBorders>
            <w:vAlign w:val="center"/>
          </w:tcPr>
          <w:p w14:paraId="72907295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818" w:type="dxa"/>
            <w:vMerge w:val="continue"/>
            <w:tcBorders>
              <w:bottom w:val="single" w:color="auto" w:sz="4" w:space="0"/>
              <w:tl2br w:val="nil"/>
              <w:tr2bl w:val="nil"/>
            </w:tcBorders>
            <w:vAlign w:val="center"/>
          </w:tcPr>
          <w:p w14:paraId="190C6D47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5167" w:type="dxa"/>
            <w:tcBorders>
              <w:bottom w:val="single" w:color="auto" w:sz="4" w:space="0"/>
              <w:tl2br w:val="nil"/>
              <w:tr2bl w:val="nil"/>
            </w:tcBorders>
            <w:vAlign w:val="center"/>
          </w:tcPr>
          <w:p w14:paraId="2512C88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主编出版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著作一本得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分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副主编一本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得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</w:rPr>
              <w:t>分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；</w:t>
            </w:r>
          </w:p>
          <w:p w14:paraId="55FD2F6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被SCI、EI、CPCI收录或在《中文核心期刊要目总览》收录的学术期刊上发表学术论文一篇得5分；</w:t>
            </w:r>
          </w:p>
          <w:p w14:paraId="586BA0D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lang w:val="en-US" w:eastAsia="zh-CN"/>
              </w:rPr>
              <w:t>其它国家级期刊论文一篇得1分。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该项最多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lang w:val="en-US" w:eastAsia="zh-CN"/>
              </w:rPr>
              <w:t>得分为20分。</w:t>
            </w:r>
          </w:p>
        </w:tc>
        <w:tc>
          <w:tcPr>
            <w:tcW w:w="848" w:type="dxa"/>
            <w:tcBorders>
              <w:bottom w:val="single" w:color="auto" w:sz="4" w:space="0"/>
              <w:tl2br w:val="nil"/>
              <w:tr2bl w:val="nil"/>
            </w:tcBorders>
            <w:vAlign w:val="center"/>
          </w:tcPr>
          <w:p w14:paraId="4C133684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4061" w:type="dxa"/>
            <w:vMerge w:val="continue"/>
            <w:tcBorders>
              <w:bottom w:val="single" w:color="auto" w:sz="4" w:space="0"/>
              <w:tl2br w:val="nil"/>
              <w:tr2bl w:val="nil"/>
            </w:tcBorders>
            <w:vAlign w:val="center"/>
          </w:tcPr>
          <w:p w14:paraId="59B0B54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 w:firstLine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pacing w:val="2"/>
                <w:sz w:val="21"/>
                <w:szCs w:val="21"/>
              </w:rPr>
            </w:pPr>
          </w:p>
        </w:tc>
      </w:tr>
      <w:tr w14:paraId="50C115E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trHeight w:val="454" w:hRule="atLeast"/>
          <w:jc w:val="center"/>
        </w:trPr>
        <w:tc>
          <w:tcPr>
            <w:tcW w:w="1268" w:type="dxa"/>
            <w:vMerge w:val="continue"/>
            <w:tcBorders>
              <w:tl2br w:val="nil"/>
              <w:tr2bl w:val="nil"/>
            </w:tcBorders>
            <w:vAlign w:val="center"/>
          </w:tcPr>
          <w:p w14:paraId="54AB5D8D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273" w:type="dxa"/>
            <w:vMerge w:val="continue"/>
            <w:tcBorders>
              <w:bottom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 w14:paraId="7925F63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rightChars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pacing w:val="9"/>
                <w:sz w:val="21"/>
                <w:szCs w:val="21"/>
              </w:rPr>
            </w:pPr>
          </w:p>
        </w:tc>
        <w:tc>
          <w:tcPr>
            <w:tcW w:w="1312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 w14:paraId="40827A5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rightChars="0"/>
              <w:jc w:val="both"/>
              <w:textAlignment w:val="baseline"/>
              <w:rPr>
                <w:rFonts w:hint="default" w:ascii="宋体" w:hAnsi="宋体" w:eastAsia="宋体" w:cs="宋体"/>
                <w:color w:val="auto"/>
                <w:spacing w:val="1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1"/>
                <w:sz w:val="21"/>
                <w:szCs w:val="21"/>
                <w:lang w:val="en-US" w:eastAsia="zh-CN"/>
              </w:rPr>
              <w:t>6.2标准</w:t>
            </w:r>
            <w:r>
              <w:rPr>
                <w:rFonts w:hint="eastAsia" w:ascii="宋体" w:hAnsi="宋体" w:eastAsia="宋体" w:cs="宋体"/>
                <w:color w:val="auto"/>
                <w:spacing w:val="9"/>
                <w:sz w:val="21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color w:val="auto"/>
                <w:spacing w:val="9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spacing w:val="9"/>
                <w:sz w:val="21"/>
                <w:szCs w:val="21"/>
              </w:rPr>
              <w:t>分)</w:t>
            </w:r>
          </w:p>
        </w:tc>
        <w:tc>
          <w:tcPr>
            <w:tcW w:w="1818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 w14:paraId="2F12DC1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rightChars="0" w:firstLine="0" w:firstLineChars="0"/>
              <w:jc w:val="both"/>
              <w:textAlignment w:val="baseline"/>
              <w:rPr>
                <w:rFonts w:hint="default" w:ascii="宋体" w:hAnsi="宋体" w:eastAsia="宋体" w:cs="宋体"/>
                <w:color w:val="auto"/>
                <w:spacing w:val="1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1"/>
                <w:sz w:val="21"/>
                <w:szCs w:val="21"/>
                <w:lang w:val="en-US" w:eastAsia="zh-CN"/>
              </w:rPr>
              <w:t>制定标准</w:t>
            </w:r>
          </w:p>
        </w:tc>
        <w:tc>
          <w:tcPr>
            <w:tcW w:w="5167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 w14:paraId="0524627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主编国家标准得10分/项，参编5分/项；</w:t>
            </w:r>
          </w:p>
          <w:p w14:paraId="5FE2B52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主编地方标准得5分/项，参编2分/项；</w:t>
            </w:r>
          </w:p>
          <w:p w14:paraId="669CAD0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83" w:rightChars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主持团体标准得2分/项，参编1分/项。</w:t>
            </w:r>
          </w:p>
        </w:tc>
        <w:tc>
          <w:tcPr>
            <w:tcW w:w="848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 w14:paraId="4E77B6E8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rightChars="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4061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 w14:paraId="56504253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192" w:lineRule="auto"/>
              <w:ind w:left="57" w:leftChars="0" w:right="57" w:rightChars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</w:rPr>
              <w:t>提供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val="en-US" w:eastAsia="zh-CN"/>
              </w:rPr>
              <w:t>主编(参编)佐证材料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</w:rPr>
              <w:t>及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val="en-US" w:eastAsia="zh-CN"/>
              </w:rPr>
              <w:t>批准文件或标准出版物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</w:rPr>
              <w:t>等；由评价组综合判断评分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val="en-US" w:eastAsia="zh-CN"/>
              </w:rPr>
              <w:t>按项数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</w:rPr>
              <w:t>累计加分，该项得分不超过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</w:rPr>
              <w:t>分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color w:val="auto"/>
                <w:spacing w:val="4"/>
                <w:sz w:val="21"/>
                <w:szCs w:val="21"/>
              </w:rPr>
              <w:t>至少一名工作室成员</w:t>
            </w:r>
            <w:r>
              <w:rPr>
                <w:rFonts w:hint="eastAsia" w:ascii="宋体" w:hAnsi="宋体" w:eastAsia="宋体" w:cs="宋体"/>
                <w:color w:val="auto"/>
                <w:spacing w:val="4"/>
                <w:sz w:val="21"/>
                <w:szCs w:val="21"/>
                <w:lang w:val="en-US" w:eastAsia="zh-CN"/>
              </w:rPr>
              <w:t>参与</w:t>
            </w:r>
            <w:r>
              <w:rPr>
                <w:rFonts w:hint="eastAsia" w:ascii="宋体" w:hAnsi="宋体" w:eastAsia="宋体" w:cs="宋体"/>
                <w:color w:val="auto"/>
                <w:spacing w:val="4"/>
                <w:sz w:val="21"/>
                <w:szCs w:val="21"/>
                <w:lang w:eastAsia="zh-CN"/>
              </w:rPr>
              <w:t>。</w:t>
            </w:r>
          </w:p>
        </w:tc>
      </w:tr>
      <w:tr w14:paraId="2FED664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268" w:type="dxa"/>
            <w:vMerge w:val="continue"/>
            <w:tcBorders>
              <w:tl2br w:val="nil"/>
              <w:tr2bl w:val="nil"/>
            </w:tcBorders>
            <w:vAlign w:val="center"/>
          </w:tcPr>
          <w:p w14:paraId="39272561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273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 w14:paraId="58B187F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right="57"/>
              <w:jc w:val="both"/>
              <w:textAlignment w:val="baseline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1"/>
                <w:szCs w:val="21"/>
                <w:lang w:val="en-US" w:eastAsia="zh-CN"/>
              </w:rPr>
              <w:t>质量创优</w:t>
            </w:r>
          </w:p>
          <w:p w14:paraId="1B9143B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rightChars="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9"/>
                <w:sz w:val="21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color w:val="auto"/>
                <w:spacing w:val="9"/>
                <w:sz w:val="21"/>
                <w:szCs w:val="21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color w:val="auto"/>
                <w:spacing w:val="9"/>
                <w:sz w:val="21"/>
                <w:szCs w:val="21"/>
              </w:rPr>
              <w:t>分)</w:t>
            </w:r>
          </w:p>
        </w:tc>
        <w:tc>
          <w:tcPr>
            <w:tcW w:w="1312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 w14:paraId="3B472F47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rightChars="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1"/>
                <w:sz w:val="21"/>
                <w:szCs w:val="21"/>
                <w:lang w:val="en-US" w:eastAsia="zh-CN"/>
              </w:rPr>
              <w:t>7.1工程质量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21"/>
                <w:szCs w:val="21"/>
              </w:rPr>
              <w:t>荣誉</w:t>
            </w:r>
            <w:r>
              <w:rPr>
                <w:rFonts w:hint="eastAsia" w:ascii="宋体" w:hAnsi="宋体" w:eastAsia="宋体" w:cs="宋体"/>
                <w:color w:val="auto"/>
                <w:spacing w:val="12"/>
                <w:sz w:val="21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color w:val="auto"/>
                <w:spacing w:val="12"/>
                <w:sz w:val="21"/>
                <w:szCs w:val="21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color w:val="auto"/>
                <w:spacing w:val="12"/>
                <w:sz w:val="21"/>
                <w:szCs w:val="21"/>
              </w:rPr>
              <w:t>分)</w:t>
            </w:r>
          </w:p>
        </w:tc>
        <w:tc>
          <w:tcPr>
            <w:tcW w:w="1818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 w14:paraId="1C8EE92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rightChars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1"/>
                <w:sz w:val="21"/>
                <w:szCs w:val="21"/>
                <w:lang w:val="en-US" w:eastAsia="zh-CN"/>
              </w:rPr>
              <w:t>工作室成员参与或指导项目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21"/>
                <w:szCs w:val="21"/>
              </w:rPr>
              <w:t>获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21"/>
                <w:szCs w:val="21"/>
                <w:lang w:val="en-US" w:eastAsia="zh-CN"/>
              </w:rPr>
              <w:t>工程质量奖、QC成果。</w:t>
            </w:r>
          </w:p>
        </w:tc>
        <w:tc>
          <w:tcPr>
            <w:tcW w:w="5167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 w14:paraId="726EBB4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83" w:rightChars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鲁班奖、国优、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>中国建筑工程装饰奖10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分/项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>，省级质量工程、荣誉材料供应商等2分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/项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>。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该项最多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lang w:val="en-US" w:eastAsia="zh-CN"/>
              </w:rPr>
              <w:t>得分为10分。</w:t>
            </w:r>
          </w:p>
          <w:p w14:paraId="2E1B003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83" w:rightChars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QC成果：国家级成果3分/项，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省级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成果1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分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/项，市级QC成果0.5分/项。该项最多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1"/>
                <w:szCs w:val="21"/>
                <w:lang w:val="en-US" w:eastAsia="zh-CN"/>
              </w:rPr>
              <w:t>得分为10分。</w:t>
            </w:r>
          </w:p>
        </w:tc>
        <w:tc>
          <w:tcPr>
            <w:tcW w:w="848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 w14:paraId="6D8A4FD5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" w:leftChars="0" w:right="57" w:rightChars="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4061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 w14:paraId="0664A6A3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192" w:lineRule="auto"/>
              <w:ind w:left="57" w:right="57"/>
              <w:jc w:val="both"/>
              <w:textAlignment w:val="baseline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>获奖说明：至少一名工作室成员参与施工或指导的项目获奖，优秀设计奖，优秀项目经理需与所获奖项目匹配。</w:t>
            </w:r>
          </w:p>
          <w:p w14:paraId="28279045">
            <w:pPr>
              <w:pStyle w:val="8"/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192" w:lineRule="auto"/>
              <w:ind w:left="57" w:leftChars="0" w:right="57" w:rightChars="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</w:rPr>
              <w:t>提供荣誉奖励清单及证书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val="en-US" w:eastAsia="zh-CN"/>
              </w:rPr>
              <w:t>文件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</w:rPr>
              <w:t>等；由评价组综合判断评分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val="en-US" w:eastAsia="zh-CN"/>
              </w:rPr>
              <w:t>按获奖个数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</w:rPr>
              <w:t>累计加分，该项得分不超过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</w:rPr>
              <w:t>分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eastAsia="zh-CN"/>
              </w:rPr>
              <w:t>。</w:t>
            </w:r>
          </w:p>
        </w:tc>
      </w:tr>
      <w:tr w14:paraId="17CEB92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5747" w:type="dxa"/>
            <w:gridSpan w:val="7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56D3187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57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注：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1.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评选工匠工作室须成立2年以上。</w:t>
            </w:r>
          </w:p>
          <w:p w14:paraId="238773E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57" w:firstLine="420" w:firstLineChars="200"/>
              <w:jc w:val="both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2.评选一（二）星级工匠工作室总得分不得低于60（70）分。</w:t>
            </w:r>
          </w:p>
          <w:p w14:paraId="03D74DF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57" w:rightChars="0" w:firstLine="420" w:firstLineChars="200"/>
              <w:jc w:val="both"/>
              <w:textAlignment w:val="baseline"/>
              <w:rPr>
                <w:rFonts w:hint="eastAsia" w:ascii="宋体" w:hAnsi="宋体" w:eastAsia="宋体" w:cs="宋体"/>
                <w:spacing w:val="-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3.创新成果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均是工作室成立以后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近2年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所获得的</w:t>
            </w:r>
            <w:r>
              <w:rPr>
                <w:rFonts w:hint="eastAsia" w:ascii="宋体" w:hAnsi="宋体" w:eastAsia="宋体" w:cs="宋体"/>
                <w:spacing w:val="-1"/>
                <w:sz w:val="21"/>
                <w:szCs w:val="21"/>
              </w:rPr>
              <w:t>。</w:t>
            </w:r>
          </w:p>
          <w:p w14:paraId="4FF2592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57" w:rightChars="0" w:firstLine="420" w:firstLineChars="20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4.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申报材料弄虚作假或存在不实情况的，一经核实，取消资格并通报批评。</w:t>
            </w:r>
          </w:p>
        </w:tc>
      </w:tr>
    </w:tbl>
    <w:p w14:paraId="72BD5552">
      <w:pPr>
        <w:keepNext/>
        <w:keepLines w:val="0"/>
        <w:pageBreakBefore w:val="0"/>
        <w:widowControl w:val="0"/>
        <w:kinsoku/>
        <w:wordWrap/>
        <w:overflowPunct/>
        <w:topLinePunct/>
        <w:autoSpaceDE w:val="0"/>
        <w:autoSpaceDN w:val="0"/>
        <w:bidi w:val="0"/>
        <w:adjustRightInd w:val="0"/>
        <w:snapToGrid w:val="0"/>
        <w:spacing w:line="240" w:lineRule="auto"/>
        <w:ind w:right="57" w:firstLine="630" w:firstLineChars="300"/>
        <w:jc w:val="both"/>
        <w:textAlignment w:val="baseline"/>
        <w:rPr>
          <w:rFonts w:hint="default" w:ascii="宋体" w:hAnsi="宋体" w:eastAsia="宋体" w:cs="宋体"/>
          <w:sz w:val="21"/>
          <w:szCs w:val="21"/>
          <w:lang w:val="en-US" w:eastAsia="zh-CN"/>
        </w:rPr>
        <w:sectPr>
          <w:footerReference r:id="rId5" w:type="default"/>
          <w:pgSz w:w="16838" w:h="11900" w:orient="landscape"/>
          <w:pgMar w:top="850" w:right="567" w:bottom="1134" w:left="567" w:header="567" w:footer="56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linePitch="0" w:charSpace="0"/>
        </w:sect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                                 </w:t>
      </w:r>
      <w:bookmarkStart w:id="1" w:name="_GoBack"/>
      <w:bookmarkEnd w:id="1"/>
    </w:p>
    <w:p w14:paraId="36FC95A9">
      <w:pPr>
        <w:rPr>
          <w:rFonts w:ascii="Arial"/>
          <w:sz w:val="21"/>
        </w:rPr>
      </w:pPr>
    </w:p>
    <w:sectPr>
      <w:headerReference r:id="rId6" w:type="default"/>
      <w:footerReference r:id="rId7" w:type="default"/>
      <w:pgSz w:w="16838" w:h="11900" w:orient="landscape"/>
      <w:pgMar w:top="850" w:right="567" w:bottom="1134" w:left="567" w:header="850" w:footer="56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A9607E">
    <w:pPr>
      <w:pStyle w:val="2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59166D">
    <w:pPr>
      <w:pStyle w:val="2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91DA94">
    <w:pPr>
      <w:pStyle w:val="4"/>
      <w:jc w:val="center"/>
      <w:rPr>
        <w:rFonts w:hint="eastAsia" w:eastAsia="黑体"/>
        <w:lang w:val="en-US"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displayBackgroundShape w:val="1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rsids>
    <w:rsidRoot w:val="00000000"/>
    <w:rsid w:val="0A0A57FB"/>
    <w:rsid w:val="0D8138D4"/>
    <w:rsid w:val="17DA4A5F"/>
    <w:rsid w:val="19B6288C"/>
    <w:rsid w:val="1AB27AA3"/>
    <w:rsid w:val="1CE7377A"/>
    <w:rsid w:val="2ADD6A15"/>
    <w:rsid w:val="2EAD4823"/>
    <w:rsid w:val="30CC59E1"/>
    <w:rsid w:val="350E5A19"/>
    <w:rsid w:val="3A12378C"/>
    <w:rsid w:val="402E32EA"/>
    <w:rsid w:val="43626EDB"/>
    <w:rsid w:val="45F8417E"/>
    <w:rsid w:val="47F612F8"/>
    <w:rsid w:val="4B897627"/>
    <w:rsid w:val="4C453366"/>
    <w:rsid w:val="520C4646"/>
    <w:rsid w:val="5233653E"/>
    <w:rsid w:val="53083527"/>
    <w:rsid w:val="56A33C92"/>
    <w:rsid w:val="60AD570E"/>
    <w:rsid w:val="614F4454"/>
    <w:rsid w:val="644409D1"/>
    <w:rsid w:val="64C0220B"/>
    <w:rsid w:val="6D615D41"/>
    <w:rsid w:val="6E9D3F21"/>
    <w:rsid w:val="6FA348AB"/>
    <w:rsid w:val="6FC2201D"/>
    <w:rsid w:val="70952446"/>
    <w:rsid w:val="72713CF1"/>
    <w:rsid w:val="74B53952"/>
    <w:rsid w:val="76DA32A9"/>
    <w:rsid w:val="775E5C88"/>
    <w:rsid w:val="7AEB06FA"/>
    <w:rsid w:val="7D6C73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宋体" w:hAnsi="宋体" w:eastAsia="宋体" w:cs="宋体"/>
      <w:sz w:val="25"/>
      <w:szCs w:val="25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header" Target="header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2187</Words>
  <Characters>2336</Characters>
  <Paragraphs>240</Paragraphs>
  <TotalTime>36</TotalTime>
  <ScaleCrop>false</ScaleCrop>
  <LinksUpToDate>false</LinksUpToDate>
  <CharactersWithSpaces>2464</CharactersWithSpaces>
  <Application>WPS Office_12.1.0.23125_F1E327BC-269C-435d-A152-05C5408002CA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2025-09-17T18:05:00Z</dcterms:created>
  <dc:creator>Administrator</dc:creator>
  <cp:lastModifiedBy>SmileWei</cp:lastModifiedBy>
  <cp:lastPrinted>2025-11-14T01:40:00Z</cp:lastPrinted>
  <dcterms:modified xsi:type="dcterms:W3CDTF">2025-11-14T09:21:36Z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2025-09-17T18:05:43Z</vt:filetime>
  </property>
  <property fmtid="{D5CDD505-2E9C-101B-9397-08002B2CF9AE}" pid="4" name="UsrData">
    <vt:lpwstr>68ca87f385dbfc001fd02603wl</vt:lpwstr>
  </property>
  <property fmtid="{D5CDD505-2E9C-101B-9397-08002B2CF9AE}" pid="5" name="KSOProductBuildVer">
    <vt:lpwstr>2052-12.1.0.23125</vt:lpwstr>
  </property>
  <property fmtid="{D5CDD505-2E9C-101B-9397-08002B2CF9AE}" pid="6" name="ICV">
    <vt:lpwstr>37C3AB9C99AE43C38EFB37325050A68B_13</vt:lpwstr>
  </property>
  <property fmtid="{D5CDD505-2E9C-101B-9397-08002B2CF9AE}" pid="7" name="KSOTemplateDocerSaveRecord">
    <vt:lpwstr>eyJoZGlkIjoiMjdmOWUwZTMyYjczZDA0NWY5NTZhMzkzYmY0YTA0NzgiLCJ1c2VySWQiOiIyOTEwNTM5NjEifQ==</vt:lpwstr>
  </property>
</Properties>
</file>