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B55D4">
      <w:pPr>
        <w:jc w:val="center"/>
        <w:rPr>
          <w:rFonts w:hint="eastAsia" w:ascii="华文中宋" w:hAnsi="华文中宋" w:eastAsia="华文中宋" w:cs="华文中宋"/>
          <w:sz w:val="28"/>
          <w:szCs w:val="28"/>
        </w:rPr>
      </w:pPr>
    </w:p>
    <w:p w14:paraId="2D2E2BFC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山西省建筑装饰协会重大事项报告制度</w:t>
      </w:r>
    </w:p>
    <w:p w14:paraId="1A5B33A6">
      <w:pPr>
        <w:jc w:val="center"/>
        <w:rPr>
          <w:rFonts w:hint="eastAsia" w:ascii="仿宋" w:hAnsi="仿宋" w:eastAsia="仿宋" w:cs="仿宋"/>
          <w:b/>
          <w:bCs/>
          <w:sz w:val="10"/>
          <w:szCs w:val="10"/>
        </w:rPr>
      </w:pPr>
    </w:p>
    <w:p w14:paraId="1B1ABAB7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第一章 总则</w:t>
      </w:r>
    </w:p>
    <w:p w14:paraId="6F595109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为规范山西省建筑装饰协会（以下简称“协会”）重大事项管理，强化风险防控，保障协会依法依规运作，根据《社会团体登记管理条例》《山西省社会组织管理办法》及协会章程，制定本制度。</w:t>
      </w:r>
    </w:p>
    <w:p w14:paraId="5777E739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本制度适用于协会全体会员单位及工作人员，涵盖协会自身及会员单位涉及的重大活动、财务事项、法律纠纷等行为。</w:t>
      </w:r>
    </w:p>
    <w:p w14:paraId="1B5BC970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sz w:val="32"/>
          <w:szCs w:val="32"/>
        </w:rPr>
        <w:t xml:space="preserve"> 基本原则</w:t>
      </w:r>
    </w:p>
    <w:p w14:paraId="1D1598D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1.依法依规：严格遵守国家法律法规及行业规范；</w:t>
      </w:r>
    </w:p>
    <w:p w14:paraId="4E18B5A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2.真实完整：确保报告内容客观准确，杜绝虚假信息；</w:t>
      </w:r>
    </w:p>
    <w:p w14:paraId="4B955DD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3.及时高效：重大事项须在规定时限内上报，不得拖延或隐瞒。</w:t>
      </w:r>
    </w:p>
    <w:p w14:paraId="7B188BD2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第二章 重大事项范围</w:t>
      </w:r>
    </w:p>
    <w:p w14:paraId="1B9CD3E7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需报告的重大事项包括以下类别</w:t>
      </w:r>
    </w:p>
    <w:p w14:paraId="54F3289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1.协会自身重大事项：</w:t>
      </w:r>
    </w:p>
    <w:p w14:paraId="0E20730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召开会员大会、理事会、换届选举等会议；</w:t>
      </w:r>
    </w:p>
    <w:p w14:paraId="1CB2B9B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修改章程、变更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法定代表人及其他</w:t>
      </w:r>
      <w:r>
        <w:rPr>
          <w:rFonts w:hint="eastAsia" w:ascii="仿宋" w:hAnsi="仿宋" w:eastAsia="仿宋" w:cs="仿宋"/>
          <w:sz w:val="32"/>
          <w:szCs w:val="32"/>
        </w:rPr>
        <w:t>登记信息或注销登记；</w:t>
      </w:r>
    </w:p>
    <w:p w14:paraId="34EE39E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涉及大额资金使用（单笔超过50万元）、资产处置或对外投资；</w:t>
      </w:r>
    </w:p>
    <w:p w14:paraId="43F433F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举办或参与国际、跨省大型活动（如行业展会、论坛等）；</w:t>
      </w:r>
    </w:p>
    <w:p w14:paraId="7DDC410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接受境外捐赠、合作或涉外活动。</w:t>
      </w:r>
    </w:p>
    <w:p w14:paraId="7E6A8D3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2.会员单位重大事项：</w:t>
      </w:r>
    </w:p>
    <w:p w14:paraId="340CFE9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单位名称、法定代表人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注册地址变更；</w:t>
      </w:r>
    </w:p>
    <w:p w14:paraId="31D98ED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涉及重大工程事故、安全事故或群体性纠纷；</w:t>
      </w:r>
    </w:p>
    <w:p w14:paraId="1C5E2AD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被行政机关处罚或卷入重大诉讼、仲裁案件；</w:t>
      </w:r>
    </w:p>
    <w:p w14:paraId="3BF49CB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获得省级以上政府表彰或行业奖项。</w:t>
      </w:r>
    </w:p>
    <w:p w14:paraId="5EBE03B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3.行业公共事项：</w:t>
      </w:r>
    </w:p>
    <w:p w14:paraId="7BBA900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国家或省级重大政策调整对行业的影响；</w:t>
      </w:r>
    </w:p>
    <w:p w14:paraId="35F919D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行业标准修订、技术规范更新等；</w:t>
      </w:r>
    </w:p>
    <w:p w14:paraId="339F273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突发公共卫生事件、自然灾害对行业的影响。</w:t>
      </w:r>
    </w:p>
    <w:p w14:paraId="7032B16D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第三章 报告程序与要求</w:t>
      </w:r>
    </w:p>
    <w:p w14:paraId="435D1F1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事前报告</w:t>
      </w:r>
    </w:p>
    <w:p w14:paraId="7D2A773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1.报告时限：重大事项发生前至少提前7个工作日提交申请；</w:t>
      </w:r>
    </w:p>
    <w:p w14:paraId="715F268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2.内容要求：</w:t>
      </w:r>
    </w:p>
    <w:p w14:paraId="0EBCFEF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事项背景、目的及必要性说明；</w:t>
      </w:r>
    </w:p>
    <w:p w14:paraId="26573A5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具体方案（含时间、地点、参与人员、经费预算等）；</w:t>
      </w:r>
    </w:p>
    <w:p w14:paraId="74BA4A1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涉及合作单位的，需提供对方资质证明及合作协议草案。</w:t>
      </w:r>
    </w:p>
    <w:p w14:paraId="1574B18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3.审批流程：</w:t>
      </w:r>
    </w:p>
    <w:p w14:paraId="0AABAC5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协会内部事项由秘书长初审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后报会长及会长办公会研究</w:t>
      </w:r>
      <w:r>
        <w:rPr>
          <w:rFonts w:hint="eastAsia" w:ascii="仿宋" w:hAnsi="仿宋" w:eastAsia="仿宋" w:cs="仿宋"/>
          <w:sz w:val="32"/>
          <w:szCs w:val="32"/>
        </w:rPr>
        <w:t>，报常务理事会审议批准；</w:t>
      </w:r>
    </w:p>
    <w:p w14:paraId="3DFEE7A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会员单位事项由协会秘书处审核后备案。</w:t>
      </w:r>
    </w:p>
    <w:p w14:paraId="51A7865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即时报告</w:t>
      </w:r>
    </w:p>
    <w:p w14:paraId="02CFCD4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1.报告时限：事件发生后24小时内口头报告，3个工作日内提交书面材料；</w:t>
      </w:r>
    </w:p>
    <w:p w14:paraId="314DC13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2.适用情形：</w:t>
      </w:r>
    </w:p>
    <w:p w14:paraId="4484264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突发安全事故、群体性事件或舆情危机；</w:t>
      </w:r>
    </w:p>
    <w:p w14:paraId="756E2BC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涉及重大违法违规行为或行政处罚；</w:t>
      </w:r>
    </w:p>
    <w:p w14:paraId="6CCB64D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会员单位出现经营异常或破产清算。</w:t>
      </w:r>
    </w:p>
    <w:p w14:paraId="345B27B5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报告形式</w:t>
      </w:r>
    </w:p>
    <w:p w14:paraId="210FCA9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书面报告需加盖公章，附相关证明材料；</w:t>
      </w:r>
    </w:p>
    <w:p w14:paraId="1C7EE47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协会自身重大事项、</w:t>
      </w:r>
      <w:r>
        <w:rPr>
          <w:rFonts w:hint="eastAsia" w:ascii="仿宋" w:hAnsi="仿宋" w:eastAsia="仿宋" w:cs="仿宋"/>
          <w:sz w:val="32"/>
          <w:szCs w:val="32"/>
        </w:rPr>
        <w:t>涉外活动或重大合作，需同步向业务主管单位及登记管理机关备案。</w:t>
      </w:r>
    </w:p>
    <w:p w14:paraId="5657A015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第四章</w:t>
      </w:r>
      <w:r>
        <w:rPr>
          <w:rFonts w:hint="eastAsia" w:ascii="仿宋" w:hAnsi="仿宋" w:eastAsia="仿宋" w:cs="仿宋"/>
          <w:sz w:val="32"/>
          <w:szCs w:val="32"/>
        </w:rPr>
        <w:t xml:space="preserve"> 审核与处置</w:t>
      </w:r>
    </w:p>
    <w:p w14:paraId="4E41DC6C">
      <w:pPr>
        <w:ind w:firstLine="643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第八条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审核机制</w:t>
      </w:r>
    </w:p>
    <w:p w14:paraId="092212F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1.协会成立重大事项审核小组，由常务理事、法律顾问及财务负责人组成；</w:t>
      </w:r>
    </w:p>
    <w:p w14:paraId="1D835EA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2.审核重点包括：合规性、风险可控性、社会影响等。</w:t>
      </w:r>
    </w:p>
    <w:p w14:paraId="1642727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第九条</w:t>
      </w:r>
      <w:r>
        <w:rPr>
          <w:rFonts w:hint="eastAsia" w:ascii="仿宋" w:hAnsi="仿宋" w:eastAsia="仿宋" w:cs="仿宋"/>
          <w:sz w:val="32"/>
          <w:szCs w:val="32"/>
        </w:rPr>
        <w:t xml:space="preserve"> 处置措施</w:t>
      </w:r>
    </w:p>
    <w:p w14:paraId="02D855E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1.对通过审核的事项，明确责任部门及执行方案；</w:t>
      </w:r>
    </w:p>
    <w:p w14:paraId="1C15D65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2.对存在风险的事项，要求补充材料或调整方案；</w:t>
      </w:r>
    </w:p>
    <w:p w14:paraId="6CC6C8D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3.对违规行为，立即终止并追究相关人员责任。</w:t>
      </w:r>
    </w:p>
    <w:p w14:paraId="2F97C83D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第五章 监督与责任追究</w:t>
      </w:r>
    </w:p>
    <w:p w14:paraId="0F25FF7B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监督机制</w:t>
      </w:r>
    </w:p>
    <w:p w14:paraId="7F99AB3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1.协会监事会负责对重大事项报告制度的执行情况进行监督检查；</w:t>
      </w:r>
    </w:p>
    <w:p w14:paraId="102854C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2.每年开展专项审计，重点核查资金使用及项目执行情况。</w:t>
      </w:r>
    </w:p>
    <w:p w14:paraId="7A57442A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违规处理：</w:t>
      </w:r>
    </w:p>
    <w:p w14:paraId="0F006F1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1.瞒报、谎报：视情节轻重给予通报批评、暂停会员资格或移交司法机关；</w:t>
      </w:r>
    </w:p>
    <w:p w14:paraId="4E53497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2.执行偏差：限期整改并提交整改报告；</w:t>
      </w:r>
    </w:p>
    <w:p w14:paraId="128F517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3.造成损失：依法追究经济及法律责任。</w:t>
      </w:r>
    </w:p>
    <w:p w14:paraId="1020999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 附则</w:t>
      </w:r>
    </w:p>
    <w:p w14:paraId="23DF73B2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本制度由山西省建筑装饰协会常务理事会负责解释和修订。</w:t>
      </w:r>
    </w:p>
    <w:p w14:paraId="6AF2051B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本制度自发布之日起施行。</w:t>
      </w:r>
    </w:p>
    <w:p w14:paraId="301E176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D49E64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D57F050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ZWY1OTVkYjgxNGQ1NGQ2YzBkNWM1ZWI2NzhjYzAifQ=="/>
  </w:docVars>
  <w:rsids>
    <w:rsidRoot w:val="6F041DCD"/>
    <w:rsid w:val="0F9C5FA7"/>
    <w:rsid w:val="295D1FED"/>
    <w:rsid w:val="2C57007A"/>
    <w:rsid w:val="3138195E"/>
    <w:rsid w:val="5A1D576B"/>
    <w:rsid w:val="6C3C32BC"/>
    <w:rsid w:val="6F041DCD"/>
    <w:rsid w:val="6F2C4A44"/>
    <w:rsid w:val="7C4B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1223</Words>
  <Characters>1246</Characters>
  <Lines>0</Lines>
  <Paragraphs>0</Paragraphs>
  <TotalTime>2</TotalTime>
  <ScaleCrop>false</ScaleCrop>
  <LinksUpToDate>false</LinksUpToDate>
  <CharactersWithSpaces>1342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2025-09-03T01:34:00Z</dcterms:created>
  <dc:creator>和永</dc:creator>
  <cp:lastModifiedBy>毛毛</cp:lastModifiedBy>
  <cp:lastPrinted>2025-09-24T06:47:00Z</cp:lastPrinted>
  <dcterms:modified xsi:type="dcterms:W3CDTF">2025-11-03T01:51:43Z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850EDB4024B242C992420C93FFC4BB9F_11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